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144/2022 vom 1. April 2022</w:t>
      </w:r>
    </w:p>
    <w:p>
      <w:r>
        <w:t>Bundesgericht, 2022-04-01, DE</w:t>
      </w:r>
    </w:p>
    <w:p>
      <w:r>
        <w:rPr>
          <w:b/>
        </w:rPr>
        <w:t xml:space="preserve">Quelle: </w:t>
      </w:r>
      <w:r>
        <w:t>https://mcp.opencaselaw.ch/entscheid/bger_4A_144_2022</w:t>
      </w:r>
    </w:p>
    <w:p>
      <w:r>
        <w:t>FR: TF 4A 144/2022 du 1 avril 2022</w:t>
      </w:r>
    </w:p>
    <w:p>
      <w:r>
        <w:t>IT: TF 4A 144/2022 del 1 aprile 2022</w:t>
      </w:r>
    </w:p>
    <w:p>
      <w:pPr>
        <w:pStyle w:val="Heading2"/>
      </w:pPr>
      <w:r>
        <w:t>Regeste</w:t>
      </w:r>
    </w:p>
    <w:p>
      <w:r>
        <w:t>Rechtsverzögerung, | Vertragsrecht</w:t>
      </w:r>
    </w:p>
    <w:p>
      <w:pPr>
        <w:pStyle w:val="Heading2"/>
      </w:pPr>
      <w:r>
        <w:t>Erwägungen</w:t>
      </w:r>
    </w:p>
    <w:p>
      <w:r>
        <w:rPr>
          <w:b/>
        </w:rPr>
        <w:t>E. 1</w:t>
      </w:r>
    </w:p>
    <w:p>
      <w:r>
        <w:t>A.A.________ und B.A.________ (Beschwerdeführer) reichten am 20. Oktober 2021 beim Bezirksgericht Weinfelden eine "Feststellungs- und Rückforderungsklage gestützt auf Art. 85a f. SchKG" im Zusammenhang mit einer Forderung aus Mietvertrag ein. Sie beantragten, es sei ihnen die unentgeltliche Prozessführung samt Beizug eines unentgeltlichen Rechtsvertreters zu gewähren. Mit Eingabe vom 24. Januar 2022 erhoben die Beschwerdeführer am Obergericht des Kantons Thurgau Aufsichtsbeschwerde gegen das Bezirksgericht Weinfelden wegen Rechtsverzögerung. Sie beantragten, das Bezirksgericht sei anzuweisen, ihnen die unentgeltliche Rechtspflege zu gewähren und einen unentgeltlichen Rechtsvertreter zu bestellen. Mit Entscheid vom 10. Februar 2022 wies das Obergericht die Beschwerde ab. Das Obergericht kam zusammengefasst zum Ergebnis, die Einschätzung des Bezirksgerichts, wonach die finanziellen Verhältnisse der Beschwerdeführer noch nicht dargelegt worden seien, sei zutreffend. Dem Bezirksgericht sei unter diesen Umständen bis anhin gar nicht möglich gewesen, über das Gesuch um unentgeltliche Rechtspflege zu entscheiden. Es liege damit keine Rechtsverzögerung vor und das Bezirksgericht habe unter den gegebenen Umständen mit dem (definitiven) Entscheid über das Gesuch um unentgeltliche Rechtspflege zuwarten dürfen. Gegen den Entscheid des Obergerichts erheben die Beschwerdeführer Beschwerde in Zivilsachen an das Bundesgericht. Sie beantragen, der angefochtene Entscheid sei aufzuheben und zur Neubeurteilung [an das Obergericht] zurückzuweisen.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 ergänzen unter dem Titel "Sachverhalt" in ihrer Beschwerdeschrift den von der Vorinstanz festgestellten Sachverhalt, wobei die diesbezüglichen Ausführungen die Begründungsanforderungen an Sachverhaltsrügen offensichtlich nicht erfüllen (Erwägung 2.2). Das Gleiche gilt, wenn sie pauschal behaupten, dass die Feststellungen der Vorinstanz "nicht stimmten", ohne aber hinreichend darzulegen, inwiefern die vorinstanzliche Sachverhaltsfeststellung offensichtlich unrichtig wäre.</w:t>
      </w:r>
    </w:p>
    <w:p>
      <w:r>
        <w:rPr>
          <w:b/>
        </w:rPr>
        <w:t>E. 4</w:t>
      </w:r>
    </w:p>
    <w:p>
      <w:r>
        <w:t>Auch im Übrigen erfüllt die Eingabe der Beschwerdeführer die oben genannten Begründungsanforderungen offensichtlich nicht: Sie rügen zwar eine Verletzung von Art. 8, 9, 12 und 29 BV sowie Art. 6 Abs. 1 EMRK und einer Vielzahl von Bestimmungen der Zivilprozessordnung. Sie bezeichnen den Entscheid der Vorinstanz sodann als nicht nachvollziehbar, widersprüchlich und willkürlich. Sie setzen sich aber offensichtlich nicht hinreichend mit den Erwägungen der Vorinstanz auseinander, geschweige denn zeigen sie nachvollziehbar auf, inwiefern im vorliegenden Fall eine Rechtsverzögerung vorliegen oder welche Rechte die Vorinstanz mit ihrem Entscheid inwiefern verletzt haben soll, als diese zum Schluss kam, dass unter den vorliegenden Umständen keine Rechtsverzögerung vorliegt. Auf die Beschwerde ist somit mangels hinreichender Begründung nicht einzutreten ( Art. 108 Abs. 1 lit. b BGG ).</w:t>
      </w:r>
    </w:p>
    <w:p>
      <w:r>
        <w:rPr>
          <w:b/>
        </w:rPr>
        <w:t>E. 5</w:t>
      </w:r>
    </w:p>
    <w:p>
      <w:r>
        <w:t>Das Gesuch um Erteilung der aufschiebenden Wirkung wird mit dem Entscheid in der Sache selbst gegenstandslos, zumal die Beschwerdeführer eine Begründung für das Gesuch um aufschiebende Wirkung schuldig blieben.</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gemäss Art. 66 Abs. 1 und 5 BGG in solidarischer Haftbarkeit den Beschwerdeführern aufzuerlegen. Dem Beschwerdegegner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