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144/2016 vom 23. Mai 2016</w:t>
      </w:r>
    </w:p>
    <w:p>
      <w:r>
        <w:t>Bundesgericht, 2016-05-23, FR</w:t>
      </w:r>
    </w:p>
    <w:p>
      <w:r>
        <w:rPr>
          <w:b/>
        </w:rPr>
        <w:t xml:space="preserve">Quelle: </w:t>
      </w:r>
      <w:r>
        <w:t>https://mcp.opencaselaw.ch/entscheid/bger_4A_144_2016</w:t>
      </w:r>
    </w:p>
    <w:p>
      <w:r>
        <w:t>FR: TF 4A 144/2016 du 23 mai 2016</w:t>
      </w:r>
    </w:p>
    <w:p>
      <w:r>
        <w:t>IT: TF 4A 144/2016 del 23 maggio 2016</w:t>
      </w:r>
    </w:p>
    <w:p>
      <w:pPr>
        <w:pStyle w:val="Heading2"/>
      </w:pPr>
      <w:r>
        <w:t>Regeste</w:t>
      </w:r>
    </w:p>
    <w:p>
      <w:r>
        <w:t>contrat de bail | Droit des contrats</w:t>
      </w:r>
    </w:p>
    <w:p>
      <w:pPr>
        <w:pStyle w:val="Heading2"/>
      </w:pPr>
      <w:r>
        <w:t>Erwägungen</w:t>
      </w:r>
    </w:p>
    <w:p>
      <w:r>
        <w:rPr>
          <w:b/>
        </w:rPr>
        <w:t>E. 1</w:t>
      </w:r>
    </w:p>
    <w:p>
      <w:r>
        <w:t>N'entre pas en matière sur le recours.</w:t>
      </w:r>
    </w:p>
    <w:p>
      <w:r>
        <w:rPr>
          <w:b/>
        </w:rPr>
        <w:t>E. 2</w:t>
      </w:r>
    </w:p>
    <w:p>
      <w:r>
        <w:t>Dit qu'il n'est pas perçu de frais ni alloué de dépens.</w:t>
      </w:r>
    </w:p>
    <w:p>
      <w:r>
        <w:rPr>
          <w:b/>
        </w:rPr>
        <w:t>E. 3</w:t>
      </w:r>
    </w:p>
    <w:p>
      <w:r>
        <w:t>Communique le présent arrêt aux parties et à la Chambre des baux et loyers de la Cour de justice du canton de Genève. Lausanne, le 23 mai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