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4A_144/2012 vom 11. September 2012</w:t>
      </w:r>
    </w:p>
    <w:p>
      <w:r>
        <w:t>Bundesgericht, 2012-09-11, DE</w:t>
      </w:r>
    </w:p>
    <w:p>
      <w:r>
        <w:rPr>
          <w:b/>
        </w:rPr>
        <w:t xml:space="preserve">Quelle: </w:t>
      </w:r>
      <w:r>
        <w:t>https://mcp.opencaselaw.ch/entscheid/bger_4A_144_2012</w:t>
      </w:r>
    </w:p>
    <w:p>
      <w:r>
        <w:t>FR: TF 4A_144/2012 du 11 septembre 2012</w:t>
      </w:r>
    </w:p>
    <w:p>
      <w:r>
        <w:t>IT: TF 4A_144/2012 del 11 settembre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Das angefochtene Urteil des Obergerichts des Kantons Bern ist ein verfahrensabschliessender Endentscheid ( Art. 90 BGG ) einer letzten kantonalen Instanz ( Art. 75 Abs. 1 BGG ). Der erforderliche Streitwert nach Art. 74 Abs. 1 lit. b BGG ist erreicht. Da auch die übrigen Sachurteilsvoraussetzungen erfüllt sind, ist auf die Beschwerde - unter Vorbehalt einer rechtsgenüglichen Begründung ( Art. 42 Abs. 2 und Art. 106 Abs. 2 BGG ) - einzutreten.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t>Die Vorinstanz stellte fest, dass aus den von der Beschwerdeführerin eingereichten Dokumenten keine Rüge hinsichtlich der Art der Rechenschaftsablegung des Beschwerdegegners bzw. deren Detailgrads habe entnommen werden können. Die erste schriftliche Rüge seitens der Beschwerdeführerin sei erst im August 2006 erfolgt, womit erstellt sei, dass die Beschwerdeführerin die Leistungen des Beschwerdegegners zumindest bis im August 2006 vorbehaltlos angenommen habe. Die Beschwerdeführerin wendet demgegenüber ein, sie sei nur bis und mit Februar 2005 mit den Leistungen des Beschwerdegegners zufrieden gewesen. Sie habe sich bei jedem Erhalt einer monatlichen Honorarrechnung gefragt, weshalb diese so hoch ausgefallen sei. Aus ihrer Nichtbezahlung dieser Rechnungen müsse deshalb geschlossen werden, dass sie die Rechnungen des Beschwerdegegners betragsmässig nicht akzeptiert und insbesondere die Rechenschaftslegung des Beschwerdegegners nicht geduldet habe.</w:t>
      </w:r>
    </w:p>
    <w:p>
      <w:r>
        <w:t>Damit vermag die Beschwerdeführerin keine Willkür in der Sachverhaltsfeststellung der Vorinstanz auszuweisen. Es mag sein, dass die Beschwerdeführerin die Höhe und den Bestand der monatlichen Honorarrechnungen des Beschwerdegegners nicht nachvollziehen konnte. Sie bringt aber nicht vor, dass sie die Rechnungen des Beschwerdegegners oder deren Detaillierungsgrad bereits vor Beendigung des Mandats während der gut zweijährigen Zusammenarbeit gerügt hätte. Allein die Behauptung, dass sie die monatlichen Rechnungen aus diesem Grund nicht bezahlt habe, lässt die vorinstanzliche Feststellung nicht willkürlich erscheinen.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3</w:t>
      </w:r>
    </w:p>
    <w:p>
      <w:r>
        <w:t>Die Beschwerdeführerin rügt die durch den Beschwerdegegner geltend gemachte Honorarforderung. Sie macht einerseits geltend, der Beschwerdegegner habe in seiner Klageschrift den Substanziierungsanforderungen nicht genüge getan und sei andererseits den auftragsrechtlichen Rechenschaftsablegungspflichten nicht nachgekommen.</w:t>
      </w:r>
    </w:p>
    <w:p>
      <w:r>
        <w:rPr>
          <w:b/>
        </w:rPr>
        <w:t>E. 3.1</w:t>
      </w:r>
    </w:p>
    <w:p>
      <w:r>
        <w:t>Die Beschwerdeführerin bringt vor, der Beschwerdegegner habe sich in seiner Klageschrift damit begnügt, bezüglich der Zusammensetzung seiner Honorarforderung auf seine Klagebeilagen zu verweisen. Er habe es unterlassen die einzelnen Honorarpositionen in seiner Klageschrift ausführlich und detailliert zu kommentieren, womit es ihr unmöglich gewesen sei, diese eingehend zu bestreiten.</w:t>
      </w:r>
    </w:p>
    <w:p>
      <w:r>
        <w:rPr>
          <w:b/>
        </w:rPr>
        <w:t>E. 3.1.1</w:t>
      </w:r>
    </w:p>
    <w:p>
      <w:r>
        <w:t>Das erstinstanzliche Verfahren richtete sich noch nicht nach der am 1. Januar 2011 in Kraft getretenen Schweizerischen Zivilprozessordnung, sondern nach dem bernischen Gesetz vom 7. Juli 1918 über die Zivilprozessordnung (ZPO/BE, BSG 271.1; Art. 404 Abs. 1 ZPO ).</w:t>
      </w:r>
    </w:p>
    <w:p>
      <w:r>
        <w:t>Die Vorinstanz hat festgestellt, dass sich der Beschwerdegegner in seiner Klageschrift tatsächlich sehr kurz gehalten habe. Nach dem kantonalen Prozessrecht habe es jedoch genügt, auf die Klagebeilagen zu verweisen; es sei daher nicht nötig gewesen, die zahlreichen Leistungen in der Klageschrift selbst detailliert zu beschreiben. Aus der eingehenden Bestreitung der einzelnen Positionen durch die Beschwerdeführerin in ihrer Klageantwort sei zudem ersichtlich, dass der Beschwerdegegner seiner Substanziierungspflicht genügt habe.</w:t>
      </w:r>
    </w:p>
    <w:p>
      <w:r>
        <w:rPr>
          <w:b/>
        </w:rPr>
        <w:t>E. 3.1.2</w:t>
      </w:r>
    </w:p>
    <w:p>
      <w:r>
        <w:t>Da die Eidgenössische ZPO im erstinstanzlichen Verfahren noch nicht zur Anwendung gekommen ist, bestimmte grundsätzlich das kantonale Prozessrecht, wie der Sachverhalt zu ermitteln ist. Danach beurteilt sich auch, ob und wie weit die Verhandlungsmaxime greift, soweit nicht das Bundesrecht abweichendes normiert ( BGE 116 II 196 E. 3a S. 201 und 594 E. 3a S. 595). Schreibt das kantonale Recht vor, der Richter dürfe seinem Urteil nur behauptete Tatsachen zugrunde legen, so kann es grundsätzlich auch die Anforderungen festlegen, welchen die Behauptung zu genügen hat. Dem Prozessrecht bleibt mithin grundsätzlich vorbehalten, die Anforderungen festzulegen, denen eine Behauptung in formeller Hinsicht zu genügen hat, und zu bestimmen, in welcher Form und bis zu welchem Zeitpunkt die Sachvorbringen in das Verfahren einzuführen sind (vgl. BGE 108 II 337 E. 2b, 2d und 3 S. 339 ff.). Zwar bestimmt Bundesrecht, wie weit ein Sachverhalt zu substanziieren ist, damit er unter die Bestimmungen des materiellen Rechts subsumiert werden kann ( BGE 108 II 337 E. 2b S. 339). Es verletzt aber Art. 8 ZGB nicht, wenn das einschlägige Prozessrecht die Berücksichtigung von Tatsachen nicht von einer entsprechend substanziierten Behauptung abhängig macht. Gemäss Art. 8 ZGB sind die das behauptete Recht erzeugenden Tatsachen zu beweisen. Wie diese von den Parteien zu behaupten sind, regelt Art. 8 ZGB nicht (vgl. zum Ganzen: Urteil 4A_623/2011 vom 10. Februar 2012 E. 2.3).</w:t>
      </w:r>
    </w:p>
    <w:p>
      <w:r>
        <w:rPr>
          <w:b/>
        </w:rPr>
        <w:t>E. 3.1.3</w:t>
      </w:r>
    </w:p>
    <w:p>
      <w:r>
        <w:t>Die Beschwerdeführerin zeigt nicht auf, inwiefern die Vorinstanz gegen die Regeln des kantonalen Prozessrechts verstossen haben soll, wenn sie in formaler Hinsicht nicht verlangte, dass die Substanziierung in der Rechtsschrift selbst zu erfolgen habe, sondern zuliess, dass sich diese aus einer Beilage ergebe, geschweige denn, dass die Anwendung des kantonalen Rechts willkürlich wäre. Die Beschwerdeführerin tut ebenso wenig dar, inwiefern die Feststellung der Vorinstanz, wonach eine eingehende Bestreitung der verschiedenen Honorarpositionen möglich war, willkürlich sein sollte. Von einer Verletzung von Bundesrecht kann keine Rede sein.</w:t>
      </w:r>
    </w:p>
    <w:p>
      <w:r>
        <w:rPr>
          <w:b/>
        </w:rPr>
        <w:t>E. 3.2</w:t>
      </w:r>
    </w:p>
    <w:p>
      <w:r>
        <w:t>Die Beschwerdeführerin bringt sodann vor, die Vorinstanz habe Art. 400 OR verletzt. Die anwaltsrechtliche Rechnungsstellung erfordere eine chronologisch geführte Auflistung aller einzelnen Leistungen, welche ihrerseits mit einem bestimmten Zeitaufwand in Verbindung gebracht werden müsse. Diesen Grundsätzen habe die Rechnungsstellung des Beschwerdegegners nicht genüge getan; in Erfüllung der geforderten Rechenschaftslegung hätte vom Beschwerdegegner erwartet werden müssen, jede erbrachte Leistung einzeln mit der jeweiligen Dauer auszuweisen. Die Honorarrechnungen des Beschwerdegegners hätten der Beschwerdeführerin keine Überprüfung der Leistungen oder deren Angemessenheit erlaubt, deshalb habe sie die offene Honorarforderung nicht bezahlt.</w:t>
      </w:r>
    </w:p>
    <w:p>
      <w:r>
        <w:rPr>
          <w:b/>
        </w:rPr>
        <w:t>E. 3.2.1</w:t>
      </w:r>
    </w:p>
    <w:p>
      <w:r>
        <w:t>Die Vorinstanz hat festgestellt, dass die vom Beschwerdegegner eingereichten monatlichen Honorarnoten sowie die "Winjur-Auszüge", angesichts der Vielzahl der dem Beschwerdegegner erteilten Mandate und von diesem erbrachten Leistungen, einen relativ hohen Detaillierungsgrad aufweisen würden; damit sei der Beschwerdegegner einer rechtsgenüglichen Rechenschaftsablegung nachgekommen. Zwischen den Parteien habe bis zur Beendigung des Mandates ein enges berufliches und nach Angaben der Geschäftsführerin der Beschwerdeführerin sogar ein freundschaftliches Verhältnis bestanden. Der Beschwerdegegner sei für die Beschwerdeführerin in einer Vielzahl von Mandaten tätig gewesen und habe diese nicht nur in juristischer Hinsicht, sondern generell in ihrer Arbeit unterstützt. Er sei von dieser als "100%-ige Vertrauensperson" betrachtet worden.</w:t>
      </w:r>
    </w:p>
    <w:p>
      <w:r>
        <w:rPr>
          <w:b/>
        </w:rPr>
        <w:t>E. 3.2.2</w:t>
      </w:r>
    </w:p>
    <w:p>
      <w:r>
        <w:t>Nach Art. 400 Abs. 1 OR ist der Beauftragte schuldig, auf Verlangen jederzeit über seine Geschäftsführung Rechenschaft abzulegen. Aus dieser Bestimmung ergibt sich die Pflicht des Anwaltes, auf Verlangen detailliert Rechnung zu stellen, wobei die einzelnen Bemühungen und die für jede einzelne derselben aufgewendete Zeit zu nennen ist (GIOVANNI ANDREA TESTA, Die zivil- und standesrechtlichen Pflichten des Rechtsanwaltes gegenüber dem Klienten, 2000, S. 201 mit Hinweisen; WALTER FELLMANN, in: Fellmann/Zindel [Hrsg.], Kommentar zum Anwaltsgesetz, 2. Aufl. 2011, N. 172 zu Art. 12 BGFA ). Es genügt somit nicht, lediglich die Gesamtzeit für die erbrachten Leistungen zu nennen (WALTER FELLMANN, a.a.O., N. 172 zu Art. 12 BGFA ). Die Rechenschaftspflicht des Beauftragten soll dem Auftraggeber die Kontrolle über seine Tätigkeiten ermöglichen; insbesondere soll die Rechenschaftspflicht dem Auftraggeber die Möglichkeit geben, dem Beauftragten die nötigen Weisungen zu erteilen oder den Auftrag nötigenfalls zu widerrufen (WALTER FELLMANN, Berner Kommentar, 1992, N. 14 zu Art. 400 OR ).</w:t>
      </w:r>
    </w:p>
    <w:p>
      <w:r>
        <w:t>Die Rechenschaftspflicht des Beauftragten nach Art. 400 OR findet ihre Grenzen jedoch im Grundsatz von Treu und Glauben. Ein Verstoss gegen diesen Grundsatz liegt beispielsweise dann vor, wenn der Auftraggeber jahrelang den Anspruch auf Rechenschaftsablegung nicht erhoben hat und auch nicht zu erkennen gegeben hat, dass er sich diesen für später vorbehält. Ebenso liegt ein Verstoss gegen den Grundsatz von Treu und Glauben vor, wenn der vorgelegte Rechenschaftsbericht bzw. die Honorarrechnungen erst nach unangemessen langer Zeit überprüft und beanstandet wird (WALTER FELLMANN, a.a.O., N. 78 ff. zu Art. 400 OR ).</w:t>
      </w:r>
    </w:p>
    <w:p>
      <w:r>
        <w:rPr>
          <w:b/>
        </w:rPr>
        <w:t>E. 3.2.3</w:t>
      </w:r>
    </w:p>
    <w:p>
      <w:r>
        <w:t>Nach den verbindlichen Feststellungen der Vorinstanz, hat die Beschwerdeführerin während zwei Jahren weder die Rechnungsstellung noch den Detaillierungsgrad der Rechnungen des Beschwerdegegners gerügt; auch nachdem sie begonnen hat, dem Beschwerdegegner unverhältnismässig hohe Honorarnoten bzw. die Unangemessenheit seines Aufwandes vorzuwerfen, hat sie die Art der Rechnungsstellung nicht beanstandet. Mit der Vorinstanz ist demnach davon auszugehen, dass die Beschwerdeführerin den Detailgrad der Rechnungen während der Dauer des Mandats akzeptiert hat. Demnach liegt ein Verstoss gegen den Grundsatz von Treu und Glauben vor, wenn die Beschwerdeführerin erst im Prozess vorbringt, die Rechnungsablegung des Beschwerdegegners sei mangelhaft bzw. ungenügend gewesen. Ohnehin hat die Vorinstanz festgestellt, dass die vom Beschwerdegegner eingereichten Honorarnoten sowie die "Winjur-Auszüge" einen relativ hohen Detaillierungsgrad aufweisen würden. Eine Verletzung von Art. 400 OR ist nicht ersichtlich.</w:t>
      </w:r>
    </w:p>
    <w:p>
      <w:r>
        <w:rPr>
          <w:b/>
        </w:rPr>
        <w:t>E. 3.3</w:t>
      </w:r>
    </w:p>
    <w:p>
      <w:r>
        <w:t>Nach dem Gesagten liegt weder eine Verletzung der Substanziierungspflichten noch eine Verletzung von Art. 400 OR vor. Damit ist der vorinstanzliche Entscheid in Bezug auf das geschuldete Honorar zu bestätigen.</w:t>
      </w:r>
    </w:p>
    <w:p>
      <w:r>
        <w:rPr>
          <w:b/>
        </w:rPr>
        <w:t>E. 4</w:t>
      </w:r>
    </w:p>
    <w:p>
      <w:r>
        <w:t>Die Beschwerdeführerin rügt sodann eine Verletzung der Regeln über den Vertragsschluss. Sie bringt vor, sie habe den Beschwerdegegner in ihrem Schreiben vom 4. November 2006 nach der Mandatsniederlegung darauf aufmerksam gemacht, dass sie ihm die Rechnung der B.________-Bilder noch zustellen werde, was sie am 17. November 2006 auch getan habe. Seit Erhalt der Rechnung am 17. November 2006 bis zur Klageeinreichung am 8. April 2009 habe der Beschwerdegegner die Beschwerdeführerin jedoch weder darauf hingewiesen, dass er mit dem im Schreiben genannten Kaufpreis in der Höhe von Fr. 126'000.-- nicht einverstanden sei, noch habe er die Bilder der Beschwerdeführerin zurückgegeben. Aus seinem Stillschweigen müsse geschlossen werden, dass er mit dem genannten Kaufpreis einverstanden und damit ein Vertrag zustande gekommen sei. Indem die Vorinstanz jedoch erwogen habe, dass kein Kaufvertrag zustande gekommen sei, habe sie Art. 1 ff. OR verletzt.</w:t>
      </w:r>
    </w:p>
    <w:p>
      <w:r>
        <w:rPr>
          <w:b/>
        </w:rPr>
        <w:t>E. 4.1</w:t>
      </w:r>
    </w:p>
    <w:p>
      <w:r>
        <w:t>Die Vorinstanz hielt fest, es sei unbestritten, dass keine schriftliche Abrede über den Preis der beiden B.________-Bilder bestehe. Unbestritten sei ebenfalls, dass der Beschwerdegegner auch nach Erhalt der Rechnung der Beschwerdeführerin vom 17. November 2006 im Besitz der Bilder sei und gegen den in der Rechnung genannten Betrag in der Höhe von Fr. 126'000.-- nicht umgehend opponiert habe.</w:t>
      </w:r>
    </w:p>
    <w:p>
      <w:r>
        <w:t>Die Annahme eines stillschweigenden Akzeptes setze ein Vertrauensverhältnis zwischen den Parteien voraus, welches zwischen den Parteien zum Zeitpunkt der Rechnungsstellung nach der Mandatsniederlegung gerade nicht mehr bestanden habe; vielmehr sei zu diesem Zeitpunkt bereits Streit zwischen den Parteien ausgebrochen und es sei mit der Betreibung der angeblichen Forderung gedroht worden. Unter diesen Umständen habe die Beschwerdeführerin nicht davon ausgehen dürfen, der Beschwerdegegner habe stillschweigend die Offerte für die beiden B.________-Bilder in der Höhe von Fr. 126'000.-- akzeptiert. Demnach sei kein Kaufvertrag zwischen den Parteien zustande gekommen und die Beschwerdeführerin habe den Bestand der von ihr behaupteten Verrechnungsforderung nicht dartun können.</w:t>
      </w:r>
    </w:p>
    <w:p>
      <w:r>
        <w:rPr>
          <w:b/>
        </w:rPr>
        <w:t>E. 4.2</w:t>
      </w:r>
    </w:p>
    <w:p>
      <w:r>
        <w:t>Stillschweigen gilt nur als Zustimmung zu einem Antrag, wenn wegen der besonderen Natur des Geschäfts oder nach den Umständen eine ausdrückliche Annahme nicht zu erwarten ist und der Antrag nicht binnen angemessener Frist abgelehnt wird ( Art. 6 OR ). Die besondere Natur des Geschäfts wird unter anderem dann angenommen, wenn der Antrag für den Empfänger nur vorteilhaft ist oder zwischen den Parteien ein besonderes Vertrauensverhältnis aufgrund bestehender Geschäftsverbindung besteht (vgl. Urteil 4A_231/2010 E. 2.4.1; so auch EUGEN BUCHER, in: Basler Kommentar, Obligationenrecht I, N. 13 f. zu Art. 6 OR ).</w:t>
      </w:r>
    </w:p>
    <w:p>
      <w:r>
        <w:t>Im Regelfall bedeutet Stillschweigen zu erhaltener Offerte somit deren Ablehnung. So kann auch eine nicht erfolgte Antwort auf den Erhalt einer Rechnung nicht als Annahme des in der Rechnung genannten Betrages gewertet werden ( BGE 112 II 500 E. 3b S. 502, vgl. auch Urteil 4A_231/2010 E. 2.4.1).</w:t>
      </w:r>
    </w:p>
    <w:p>
      <w:r>
        <w:rPr>
          <w:b/>
        </w:rPr>
        <w:t>E. 4.3</w:t>
      </w:r>
    </w:p>
    <w:p>
      <w:r>
        <w:t>Nach den verbindlichen Feststellungen der Vorinstanz, hat das Vertrauensverhältnis zwischen den Parteien zum Zeitpunkt der Rechnungsstellung für die beiden B.________-Bilder nicht mehr bestanden. Die Beschwerdeführerin bringt selber vor, dass der Grund, weshalb dem Beschwerdegegner nicht bereits zu einem früheren Zeitpunkt für die beiden Bilder Rechnung gestellt worden sei, auf der "vormaligen Geschäftsbeziehung" zwischen den Parteien gründe, aus welcher sich ein besonderes Vertrauensverhältnis ergeben habe. Demnach lag im Moment der Rechnungsstellung keine besondere Natur des Geschäfts vor, weshalb das Schweigen des Beschwerdegegners nicht als Zustimmung gewertet werden kann, womit zwischen den Parteien kein Kaufvertrag über die beiden B.________-Bilder zustande gekommen ist.</w:t>
      </w:r>
    </w:p>
    <w:p>
      <w:r>
        <w:rPr>
          <w:b/>
        </w:rPr>
        <w:t>E. 5</w:t>
      </w:r>
    </w:p>
    <w:p>
      <w:r>
        <w:t>Nach dem Gesagten ist die Beschwerde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