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144/2009 vom 6. Oktober 2009</w:t>
      </w:r>
    </w:p>
    <w:p>
      <w:r>
        <w:t>Bundesgericht, 2009-10-06, DE</w:t>
      </w:r>
    </w:p>
    <w:p>
      <w:r>
        <w:rPr>
          <w:b/>
        </w:rPr>
        <w:t xml:space="preserve">Quelle: </w:t>
      </w:r>
      <w:r>
        <w:t>https://mcp.opencaselaw.ch/entscheid/bger_4A_144_2009</w:t>
      </w:r>
    </w:p>
    <w:p>
      <w:r>
        <w:t>FR: TF 4A 144/2009 du 6 octobre 2009</w:t>
      </w:r>
    </w:p>
    <w:p>
      <w:r>
        <w:t>IT: TF 4A 144/2009 del 6 ottobre 2009</w:t>
      </w:r>
    </w:p>
    <w:p>
      <w:pPr>
        <w:pStyle w:val="Heading2"/>
      </w:pPr>
      <w:r>
        <w:t>Regeste</w:t>
      </w:r>
    </w:p>
    <w:p>
      <w:r>
        <w:t>Auftrag | Vertragsrecht</w:t>
      </w:r>
    </w:p>
    <w:p>
      <w:pPr>
        <w:pStyle w:val="Heading2"/>
      </w:pPr>
      <w:r>
        <w:t>Erwägungen</w:t>
      </w:r>
    </w:p>
    <w:p>
      <w:r>
        <w:rPr>
          <w:b/>
        </w:rPr>
        <w:t>E. 1.1</w:t>
      </w:r>
    </w:p>
    <w:p>
      <w:r>
        <w:t>Gegenstand des Verfahrens bildet eine Zivilsache ( Art. 72 Abs. 1 BGG ). Die Rechtsbegehren der Beschwerdeführerin sind im kantonalen Verfahren nicht vollständig geschützt worden ( Art. 76 Abs. 1 BGG ), der massgebende Streitwert beträgt mehr als Fr. 30'000.-- (Art. 51 i.V.m. Art. 74 Abs. 1 lit. b BGG ) und die Beschwerdefrist ist eingehalten ( Art. 100 Abs. 1 BGG ).</w:t>
      </w:r>
    </w:p>
    <w:p>
      <w:r>
        <w:rPr>
          <w:b/>
        </w:rPr>
        <w:t>E. 1.2</w:t>
      </w:r>
    </w:p>
    <w:p>
      <w:r>
        <w:t>Die Beschwerde in Zivilsachen ist nur gegen Entscheide letzter kantonaler Instanzen zulässig ( Art. 75 Abs. 1 BGG ). Die Beschwerdeführerin verlangt neben der Aufhebung des Zirkulationsbeschlusses des Kassationsgerichts zusätzlich die Aufhebung des Urteils des Handelsgerichts. Da sie Rügen vorbringt, welche das Kassationsgericht nicht oder mit engerer Kognition als das Bundesgericht geprüft hat, ficht sie zu Recht das Urteil des Handelsgerichts mit an ( Art. 100 Abs. 6 BGG ; BGE 134 III 267 E. 1.1 S. 269). Bezüglich Rügen der Verletzung des rechtlichen Gehörs ist indessen zu beachten, dass diese vor Kassationsgericht vorgebracht werden können ( § 285 Abs. 2 ZPO /ZH; BGE 133 III 585 E. 3.4 S. 587 f.). Damit stellt das Urteil des Handelsgerichts insoweit keinen kantonal letztinstanzlichen Entscheid dar, als geltend gemacht wird, das Handelsgericht habe den Anspruch der Beschwerdeführerin auf rechtliches Gehör verletzt. Eine entsprechende Rüge hätte gegen den Entscheid des Kassationsgerichts vorgebracht werden müssen. Soweit die Beschwerdeführerin dagegen die Verletzung von einfachem Bundesrecht rügt, ist das Urteil des Handelsgerichts ein letztinstanzlicher Entscheid.</w:t>
      </w:r>
    </w:p>
    <w:p>
      <w:r>
        <w:rPr>
          <w:b/>
        </w:rPr>
        <w:t>E. 2</w:t>
      </w:r>
    </w:p>
    <w:p>
      <w:r>
        <w:t>Im Rahmen ihrer Beschwerde gegen den Zirkulationsbeschluss des Kassationsgerichts des Kantons Zürich beantragt die Beschwerdeführerin lediglich die Neuverteilung der Gerichtskosten und der Parteientschädigung. Da das Kassationsgericht die Nichtigkeitsbeschwerde abgewiesen hat, soweit es darauf eingetreten ist, und die Beschwerdeführerin dagegen keine Rügen in der Sache vorbringt, besteht kein Anlass zur Neuverteilung. Die Beschwerde ist in diesem Punkt abzuweisen.</w:t>
      </w:r>
    </w:p>
    <w:p>
      <w:r>
        <w:rPr>
          <w:b/>
        </w:rPr>
        <w:t>E. 3</w:t>
      </w:r>
    </w:p>
    <w:p>
      <w:r>
        <w:t>Dem Handelsgericht wirft die Beschwerdeführerin vor, Art. 8 ZGB sowie Art. 398 Abs. 2 OR verletzt zu haben, indem es zu hohe Anforderungen an die Substanziierung des Schadenseintritts gestellt habe.</w:t>
      </w:r>
    </w:p>
    <w:p>
      <w:r>
        <w:rPr>
          <w:b/>
        </w:rPr>
        <w:t>E. 3.1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321 E. 2.2.1 S. 323 f.; 129 III 331 E. 2.1, je mit Hinweisen).</w:t>
      </w:r>
    </w:p>
    <w:p>
      <w:r>
        <w:rPr>
          <w:b/>
        </w:rPr>
        <w:t>E. 3.2</w:t>
      </w:r>
    </w:p>
    <w:p>
      <w:r>
        <w:t>In tatsächlicher Hinsicht hat die Geschädigte den Zustand ihres Vermögens sowie den hypothetischen höheren Vermögensstand ohne schädigendes Ereignis zu behaupten und zu beweisen. Dies bedeutet indessen nicht, dass sie die Behauptungslast für sämtliche Umstände trifft, die für die Bestimmung des Schadens massgeblich sein können. Vielmehr sind ihre Behauptungen hinreichend substanziiert, wenn sie unter der Annahme, sie seien bewiesen, einen Sachverhalt ergeben, den das Gericht den entsprechenden Gesetzesnormen zuordnen und gestützt darauf die Forderung zusprechen kann (vgl. C. JÜRGEN BRÖNNIMANN, Die Behauptungs- und Substanzierungslast im schweizerischen Zivilprozessrecht, 1989, S. 137). Wie weit die Tatsachen, aus denen sich der hypothetisch höhere Vermögensstand ergibt, inhaltlich zu substanziieren sind, hängt weiter vom prozessualen Verhalten der Gegenpartei ab. Tatsachenbehauptungen müssen so konkret formuliert sein, dass ein substanziiertes Bestreiten möglich ist oder der Gegenbeweis angetreten werden kann (vgl. BGE 117 II 113 E. 2).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 S. 368; 108 II 337 E. 3 S. 341). Stellt der kantonale Richter jedoch überhöhte Anforderungen an die Substanziierungslast, indem er detailliertere Tatsachenbehauptungen verlangt als für die rechtliche Beurteilung des anspruchsbegründenden Sachverhalts nötig, verletzt er Bundesrecht und namentlich Art. 8 ZGB ( BGE 114 II 289 E. 2a; 112 II 180 E. 2c; C. JÜRGEN BRÖNNIMANN, a.a.O., S. 171).</w:t>
      </w:r>
    </w:p>
    <w:p>
      <w:r>
        <w:rPr>
          <w:b/>
        </w:rPr>
        <w:t>E. 3.3</w:t>
      </w:r>
    </w:p>
    <w:p>
      <w:r>
        <w:t>Die Beschwerdeführerin behauptete vor Handelsgericht, sie hätte zwei Möglichkeiten zur Vermeidung des Schadens gehabt, die sie bei zutreffender Aufklärung über das Risiko des Verfalls ihres Verlustvortrages von 1993 hätte ausführen können: Zum einen hätte sie die "XZ.________ AG" bereits im Jahr 2000 erwerben und ihr im selben Jahr die Liegenschaften verkaufen können; zum anderen hätte sie im Jahr 2000 eine neue Tochtergesellschaft gründen und dieser die Liegenschaften ebenfalls im selben Jahr verkaufen können. In beiden Fällen hätte die Möglichkeit bestanden, den Gewinn noch mit dem Verlustvortrag aus dem Jahr 1993 zu verrechnen und so das Anfallen einer Steuer zu verhindern. Nach Auffassung der Vorinstanz hat die Beschwerdeführerin ihre Behauptung, sie hätte die "XZ.________ AG" schon im Jahre 2000 erworben, wenn sie rechtzeitig auf die rechtlich unsichere Situation bezüglich der Verrechnungsfähigkeit des Verlustvortrags 1993 hingewiesen worden wäre, jedoch nicht hinreichend substanziiert. Sie habe nicht dargelegt, wer die Verkäufer der Z.________ AG gewesen wären, welcher Preis schon im Jahr 2000 für die Aktien ausgehandelt, sowie wann und mit wem diese Verhandlungen geführt worden seien. Auch bezüglich der Variante der Gründung einer Tochtergesellschaft würden konkrete Angaben fehlen, so insbesondere die Höhe des Aktienkapitals, der Zweck der Gesellschaft, die Finanzierung des Kaufpreises und der betriebswirtschaftliche Hintergrund einer solchen Transaktion.</w:t>
      </w:r>
    </w:p>
    <w:p>
      <w:r>
        <w:rPr>
          <w:b/>
        </w:rPr>
        <w:t>E. 3.4</w:t>
      </w:r>
    </w:p>
    <w:p>
      <w:r>
        <w:t>Wenn das Handelsgericht von der Beschwerdeführerin verlangt, die reale Situation im Zusammenhang mit dem vorgezogenen Erwerb der Z.________ AG im Jahr 2000 konkret zu schildern, verletzt sie kein Bundesrecht. Denn es geht hier um eine Gestaltungsmöglichkeit, über welche die Beschwerdeführerin ohne weiteres in der Lage ist, konkrete Angaben zu liefern. Wenn die Beschwerdegegnerin nicht weiss, von wem die Gesellschaft erworben wurde, kann sie auch nicht substanziiert anführen, dass die Verkäuferschaft im Jahre 2000 noch nicht zu einem Verkauf bereit gewesen oder dass z.B. ein Organwechsel bei der Verkäuferschaft stattgefunden und die im Vorjahr Verantwortlichen einem Verkauf nicht zugestimmt hätten. Indem die Vorinstanz von der Beschwerdeführerin konkrete Angaben zur Ausgestaltung des vorgezogenen Erwerbs verlangte, hat sie einen bundesrechtskonformen Massstab an die Substanziierung des Schadens gelegt. Anders verhält es sich demgegenüber bezüglich der Variante der Gründung einer Tochtergesellschaft zum Erwerb der Liegenschaften. Hier muss genügen, dass die Beschwerdeführerin behauptet und beweist, sie hätte bei sorgfältiger Beratung durch die Beschwerdegegnerin die konkrete Möglichkeit gehabt, zu diesem Zeitpunkt eine Tochtergesellschaft zu gründen, und diese Möglichkeit voraussichtlich auch genutzt. Aus der Behauptung der Beschwerdeführerin wird denn auch hinreichend klar, dass die neue Gesellschaft so ausgestaltet worden wäre, dass sie sowohl den angestrebten betriebswirtschaftlichen Zweck wie auch jenen der Steuerersparnis hätte erfüllen können. Wenn das Handelsgericht die Beschwerdeführerin wegen mangelnder Substanziierung des Schadens daran hindert, den Beweis anzutreten, verletzt es Bundesrecht. Insoweit ist das Urteil des Handelsgerichts aufzuheben und zur Durchführung eines Beweisverfahrens sowie neuer Entscheidung zurückzuweisen. Das Handelsgericht wird dabei abzuklären haben, welche Kosten mit der Gründung der Tochtergesellschaft verbunden gewesen wären, und ob sich die betriebswirtschaftlichen Zwecke und die Steuerersparnis unter diesen Umständen hätten erreichen lassen.</w:t>
      </w:r>
    </w:p>
    <w:p>
      <w:r>
        <w:rPr>
          <w:b/>
        </w:rPr>
        <w:t>E. 4</w:t>
      </w:r>
    </w:p>
    <w:p>
      <w:r>
        <w:t>Die Beschwerdeführerin rügt weiter, das Handelsgericht habe den Schadensbegriff verkannt, indem es angenommen habe, ihr Schaden sei nicht durch die unerwartet hohe Steuerbelastung anlässlich der Liegenschaftsveräusserung im Dezember 2001 entstanden, sondern bereits am 1. Januar 2001 durch den Verfall der Möglichkeit, Verlustvorträge aus dem Jahr 1993 zu verrechnen.</w:t>
      </w:r>
    </w:p>
    <w:p>
      <w:r>
        <w:rPr>
          <w:b/>
        </w:rPr>
        <w:t>E. 4.1</w:t>
      </w:r>
    </w:p>
    <w:p>
      <w:r>
        <w:t>Die Beschwerdeführerin machte vor der Vorinstanz eventualiter geltend, dass die Beschwerdegegnerin spätestens aufgrund der Falschauskunft im Zusammenhang mit dem erwähnten Bundesgerichtsentscheid vom 17. Mai 2001 ihre Vertragspflichten verletzt habe. In diesem Zeitpunkt hätte die Beschwerdeführerin den Verkauf der Liegenschaften zwar nicht mehr vorziehen, aber nach wie vor auf den Verkauf als solchen verzichten und so den Steueranfall verhindern können. Das Handelsgericht kam zum Schluss, dass bei Verzicht auf den Verkauf der Liegenschaften kein Schaden entstanden wäre. Ein Verlustvortrag, der mit dem Reingewinn verrechnet werden kann, stelle ein wirtschaftlich nutzbares Gut im Wert der damit erzielbaren Steuerersparnis dar. Wirtschaftlich hätte die Beschwerdeführerin aber mit dem blossen Verlust der steuerlichen Nutzung des Verlustvortrags ohne gleichzeitiges Erzielen eines Gewinnes aus Liegenschaftsverkauf die gleiche Einbusse erlitten, wie wenn ein erzielter Gewinn durch die nun tatsächlich anfallende Steuer gemindert werde. Der Beschwerdeführerin wäre deshalb nur dann ein Schaden entstanden, wenn sie wegen der fehlerhaften Interpretation des Bundesgerichtsentscheides versäumt hätte, die zu verkaufenden Liegenschaften auf andere Weise so steueroptimiert zu veräussern, dass sie ohne Belastung durch die direkte Bundessteuer den gleichen Gewinn hätte realisieren können. Eine solche Lösung zeige sie indessen nicht auf.</w:t>
      </w:r>
    </w:p>
    <w:p>
      <w:r>
        <w:rPr>
          <w:b/>
        </w:rPr>
        <w:t>E. 4.2</w:t>
      </w:r>
    </w:p>
    <w:p>
      <w:r>
        <w:t>Das Handelsgericht geht zu Recht davon aus, dass das Verrechnungspotential des Verlustvortrags in jedem Fall am 1. Januar 2001 entfallen wäre. Ob dieses jedoch ein wirtschaftlich nutzbares Gut - eine Art "Aktivum" - darstellt, kann offen bleiben. Entscheidend ist nach der Differenzhypothese vielmehr, ob das Vermögen der Beschwerdeführerin bei (hypothetischem) Verzicht auf den Verkauf der Liegenschaften grösser wäre als im Falle einer Veräusserung. Dabei kann grundsätzlich davon ausgegangen werden, dass der realisierte Preis für die Liegenschaften deren Verkehrswert im Veräusserungszeitpunkt entspricht. Auf Seiten der Aktiven würde sich damit bei hypothetischem Verzicht auf den Verkauf gegenüber der tatsächlichen Vermögenssituation der Beschwerdeführerin betragsmässig nichts ändern. Wenn dagegen bei Verzicht auf den Verkauf weniger Passiven angefallen wären als im Falle des Verkaufs, läge ein Schaden vor. Dies wäre der Fall, wenn die der Beschwerdeführerin aufgrund des Verkaufs der Liegenschaften tatsächlich angefallenen Steuern höher sind als jene Steuern, die während der massgebenden Steuerperiode bei einem Verzicht auf den Verkauf angefallen wären.</w:t>
      </w:r>
    </w:p>
    <w:p>
      <w:r>
        <w:rPr>
          <w:b/>
        </w:rPr>
        <w:t>E. 4.3</w:t>
      </w:r>
    </w:p>
    <w:p>
      <w:r>
        <w:t>In tatsächlicher Hinsicht hielt das Handelsgericht fest, dass die Steueroptimierung beim Verkauf der Liegenschaften an die Z.________ AG ein wichtiger, aber nicht einziger Zweck gewesen, sondern dass es auch darum gegangen sei, aus betriebswirtschaftlichen Gründen eine Holdingstruktur zu errichten. Dazu hätten alle Liegenschaften eines Kantons in einer kantonalen Gesellschaft gebündelt werden sollen, um neben den steuerlichen auch administrative Vorteile und Kosteneinsparungen zu erzielen. Ob die Beschwerdeführerin trotz der betriebswirtschaftlichen Hintergründe einzig aus steuerlichen Gründen auf den Verkauf verzichtet hätte, wenn sie von der Beschwerdegegnerin zutreffend aufgeklärt worden wäre, geht aus den Feststellungen des Handelsgerichts nicht hervor. Damit fehlen dem Bundesgericht die tatsächlichen Grundlagen für einen reformatorischen Entscheid, weshalb die Sache auch in diesem Punkt an das Handelsgericht zur Ergänzung des Sachverhalts und neuem Entscheid zurückzuweisen ist. Die Vorinstanz wird Feststellungen darüber zu treffen haben, ob die Beschwerdeführerin, obwohl sie die beschriebene Konzernstruktur im Auge hatte, bei korrekter Beratung durch die Beschwerdegegnerin die Liegenschaft während der massgebenden Steuerperiode behalten hätte und welche Steuerlast diesfalls angefallen wäre.</w:t>
      </w:r>
    </w:p>
    <w:p>
      <w:r>
        <w:rPr>
          <w:b/>
        </w:rPr>
        <w:t>E. 5</w:t>
      </w:r>
    </w:p>
    <w:p>
      <w:r>
        <w:t>Nach dem Gesagten ist die Beschwerde abzuweisen, soweit sie sich gegen das Urteil des Kassationsgerichts richtet, und teilweise gutzuheissen, soweit sie sich gegen das Urteil des Handelsgerichts richtet. Bei diesem Ausgang des Verfahrens sind die Gerichtskosten anteilsmässig zu verlegen ( Art. 66 Abs. 1 BGG ). Die zur Hauptsache unterlegene Beschwerdegegnerin schuldet der Beschwerdeführerin eine herabgesetzte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