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141/2023 vom 9. August 2023</w:t>
      </w:r>
    </w:p>
    <w:p>
      <w:r>
        <w:t>Bundesgericht, 2023-08-09, FR</w:t>
      </w:r>
    </w:p>
    <w:p>
      <w:r>
        <w:rPr>
          <w:b/>
        </w:rPr>
        <w:t xml:space="preserve">Quelle: </w:t>
      </w:r>
      <w:r>
        <w:t>https://mcp.opencaselaw.ch/entscheid/bger_4A_141_2023</w:t>
      </w:r>
    </w:p>
    <w:p>
      <w:r>
        <w:t>FR: TF 4A 141/2023 du 9 août 2023</w:t>
      </w:r>
    </w:p>
    <w:p>
      <w:r>
        <w:t>IT: TF 4A 141/2023 del 9 agosto 2023</w:t>
      </w:r>
    </w:p>
    <w:p>
      <w:pPr>
        <w:pStyle w:val="Heading2"/>
      </w:pPr>
      <w:r>
        <w:t>Regeste</w:t>
      </w:r>
    </w:p>
    <w:p>
      <w:r>
        <w:t>assurance-maladie collective; qualification du contrat de prestation de services, | Droit des contrats</w:t>
      </w:r>
    </w:p>
    <w:p>
      <w:pPr>
        <w:pStyle w:val="Heading2"/>
      </w:pPr>
      <w:r>
        <w:t>Erwägungen</w:t>
      </w:r>
    </w:p>
    <w:p>
      <w:r>
        <w:rPr>
          <w:b/>
        </w:rPr>
        <w:t>E. 1</w:t>
      </w:r>
    </w:p>
    <w:p>
      <w:r>
        <w:t>Le litige porte sur une assurance complémentaire à l'assurance-maladie sociale, régie par la loi fédérale du 2 avril 1908 sur le contrat d'assurance (LCA; RS 221.229.1). Ce type de conflit ressortit à la matière civile au sens de l' art. 72 al. 1 LTF ( ATF 138 III 2 consid. 1.1; 133 III 439 consid. 2.1). Au surplus, l'arrêt attaqué est une décision finale ( art. 90 LTF ) rendue par la Cour de justice du canton de Genève statuant en qualité d'instance cantonale unique au sens de l' art. 7 CPC ( art. 134 al. 1 let . c de la loi du canton de Genève du 26 septembre 2010 sur l'organisation judiciaire [LOJ/GE; RS/GE E 2 05]; cf. art. 75 al. 2 let. a LTF et ATF 138 III 799 consid. 1.1). Aussi le présent recours est-il ouvert sans égard à la valeur litigieuse ( art. 74 al. 2 let. b LTF ). Interjeté au surplus par la société d'assurance, qui a succombé dans ses conclusions ( art. 76 al. 1 LTF ), dans le délai fixé par la loi ( art. 100 al. 1 et art. 45 al. 1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 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3</w:t>
      </w:r>
    </w:p>
    <w:p>
      <w:r>
        <w:t>La recourante soutient que le contrat conclu entre la société intimée et l'intéressée devrait être qualifié de contrat de mandat et non de contrat de travail et, partant, que ledit contrat ne serait pas couvert par la police d'assurance-maladie collective conclue entre la société intimée et elle.</w:t>
      </w:r>
    </w:p>
    <w:p>
      <w:r>
        <w:rPr>
          <w:b/>
        </w:rPr>
        <w:t>E. 3.1.1</w:t>
      </w:r>
    </w:p>
    <w:p>
      <w:r>
        <w:t>La qualification juridique d'un contrat se base sur le contenu de celui-ci ( ATF 144 III 43 consid. 3.3). Dans une première étape, il s'agit de déterminer le contenu du contrat en recherchant la réelle et commune intention des parties ( art. 18 al. 1 CO ). Si une telle intention ne peut être constatée, le contenu du contrat doit être interprété selon le principe de la confiance ( ATF 145 III 365 consid. 3.2.1; 144 III 43 consid. 3.3; 140 III 134 consid. 3.2). Une fois le contenu du contrat déterminé, il s'agit, dans une seconde étape et sur cette base, de catégoriser juridiquement la convention (arrêts 4A_53/2021 du 21 septembre 2021 consid. 5.1.1; 4A_64/2020 du 6 août 2020 consid. 5 et les références citées).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falsa demonstratio non nocet ") ( ATF 131 III 217 consid. 3; 129 III 664 consid. 3.1; arrêts 4A_53/2021 précité consid. 5.1.1; 4A_64/2020 précité consid. 5 et les références citées).</w:t>
      </w:r>
    </w:p>
    <w:p>
      <w:r>
        <w:rPr>
          <w:b/>
        </w:rPr>
        <w:t>E. 3.1.2</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4A_53/2021 précité consid. 5.1.3; 4A_64/2020 précité consid. 6.1 et les arrêts cités; 4A_10/2017 du 19 juillet 2017 consid. 3.1).</w:t>
      </w:r>
    </w:p>
    <w:p>
      <w:r>
        <w:rPr>
          <w:b/>
        </w:rPr>
        <w:t>E. 3.1.2.1</w:t>
      </w:r>
    </w:p>
    <w:p>
      <w:r>
        <w:t>Le contrat de travail se distingue avant tout des autres contrats de prestation de services, en particulier du mandat, par l'existence d'un lien de subordination ( ATF 125 III 78 consid. 4; 121 I 259 consid. 3a; 112 II 41 consid. 1a; arrêts 4A_53/2021 précité consid. 5.1.3.1; 4A_64/2020 précité consid. 6.2 et les arrêts cités), qui place le travailleur dans la dépendance de l'employeur sous l'angle personnel, organisationnel et temporel ainsi que, dans une certaine mesure, économique ( ATF 121 I 259 consid. 3a; arrêts 4A_53/2021 précité consid. 5.1.3.1; 4A_64/2020 précité consid. 6.2 et les arrêts cités). Le travailleur est assujetti à la surveillance, aux ordres et instructions de l'employeur; il est intégré dans l'organisation de travail d'autrui et y reçoit une place déterminée (arrêts 4A_53/2021 précité consid. 5.1.3.1; 4A_64/2020 précité consid. 6.3.1; 4A_10/2017 précité consid. 3.1; 4A_200/2015 du 3 septembre 2015 consid. 4.2.1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4A_53/2021 précité consid. 5.1.3.1; 4A_64/2020 précité consid. 6.3.1 et les arrêts cités).</w:t>
      </w:r>
    </w:p>
    <w:p>
      <w:r>
        <w:rPr>
          <w:b/>
        </w:rPr>
        <w:t>E. 3.1.2.2</w:t>
      </w:r>
    </w:p>
    <w:p>
      <w:r>
        <w:t>Les critères formels, tels l'intitulé du contrat, les déclarations des parties ou les déductions aux assurances sociales, ne sont pas à eux seuls déterminants (arrêts 4A_53/2021 précité consid. 5.1.3.2; 4A_64/2020 précité consid. 6.4 et les arrêts cités).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(arrêts 4A_53/2021 précité consid. 5.1.3.2; 4A_64/2020 précité consid. 6.3.3 et les arrêts cités) et le fait que l'employeur supporte le risque économique et que le travailleur abandonne à un tiers l'exploitation de sa prestation, en contrepartie d'un revenu assuré (arrêts 4A_53/2021 précité consid. 5.1.3.2; 4A_64/2020 précité consid. 6.3.5 et les arrêts cités).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Un indice pour une telle dépendance réside dans le fait qu'une personne travaille pour une seule société. Cet indice est renforcé lorsque les parties conviennent d'une interdiction d'exercer toute activité économique similaire (arrêts 4A_53/2021 précité consid. 5.1.3.2; 4A_64/2020 précité consid. 6.3.6 et les arrêts cités). Seul l'examen de l'ensemble des circonstances du cas concret permet de déterminer si l'activité en cause est exercée de manière dépendante ou indépendante ( ATF 130 III 213 consid. 2.1; 129 III 664 consid. 3.2; 128 III 129 consid. 1a/aa).</w:t>
      </w:r>
    </w:p>
    <w:p>
      <w:r>
        <w:rPr>
          <w:b/>
        </w:rPr>
        <w:t>E. 3.2</w:t>
      </w:r>
    </w:p>
    <w:p>
      <w:r>
        <w:t>Il ressort des déclarations des administrateurs et des employés de la société demanderesse que celle-ci est une petite entreprise qui est exploitée par deux couples qui travaillent ensemble de façon informelle et sur pied d'égalité. Lesdits couples achètent des terrains sur lesquels ils font construire des villas et des appartements et qu'ils vendent ensuite sur plans. L'intéressée avait pour tâche de trouver des terrains permettant à la société d'effectuer des promotions immobilières ainsi que des clients pour l'achat des projets réalisés. Cette activité ne nécessitait pas un lieu fixe de travail ni des heures ponctuelles et impliquait essentiellement l'entretien de son réseau relationnel, qui pouvait se faire tant en journée que le soir et parfois le week-end. La société avait pu acquérir un grand terrain grâce aux contacts de l'intéressée, ce qui lui avait permis de gagner quelques millions. La cour cantonale a constaté que la police liant les parties supposait l'existence d'un contrat de travail entre l'intéressée et la société afin de lui ouvrir le droit aux prestations d'assurance-maladie collective. Elle a jugé que tel était le cas. Elle a considéré que la société et l'intéressée avaient formellement conclu un contrat de travail et que rien n'empêchait la société et l'intéressée de convenir que le travail de celle-ci était celui d'une apporteuse d'affaires, sans horaires ni lieu de travail fixes, et d'un salaire élevé, pour tenir compte des affaires apportées à la société, plutôt que d'une participation de l'intéressée au bénéfice ou au chiffre d'affaires, selon l' art. 322a al. 1 CO . Vu les spécificités des rapports entre l'intéressée et les administrateurs de la société, qui travaillaient beaucoup ensemble, sur un pied d'égalité et en confiance, la cour cantonale a considéré que le critère de la subordination devait être relativisé et qu'il y avait lieu d'accorder davantage d'importance au fait que l'intéressée touchait une rémunération fixe et que c'était la société qui assumait le risque de l'entreprise.</w:t>
      </w:r>
    </w:p>
    <w:p>
      <w:r>
        <w:rPr>
          <w:b/>
        </w:rPr>
        <w:t>E. 3.3</w:t>
      </w:r>
    </w:p>
    <w:p>
      <w:r>
        <w:t>En substance, la recourante considère que l'intéressée était totalement libre de son temps, respectivement de son lieu de travail, qu'elle ne recevait pas d'instructions de la part de qui que ce soit au sein de l'intimée et qu'elle n'exerçait pas de fonction dirigeante au sein de l'intimée, dans la mesure où les deux couples exploitaient celle-ci sur un pied d'égalité. Selon elle, il n'était donc aucunement justifié de relativiser à ce point le critère de la subordination, qui n'était pas réalisé en l'espèce, et l'ensemble de ces éléments plaiderait en faveur de la qualification de contrat de mandat.</w:t>
      </w:r>
    </w:p>
    <w:p>
      <w:r>
        <w:rPr>
          <w:b/>
        </w:rPr>
        <w:t>E. 3.4</w:t>
      </w:r>
    </w:p>
    <w:p>
      <w:r>
        <w:t>L'intimée soutient quant à elle que, comme l'a retenu la cour cantonale, le critère de la subordination doit être relativisé s'agissant de professions libérales ou de salariés avec des fonctions dirigeantes car, dans ce cadre, le travailleur renonce à assumer le risque économique d'une affaire en échange d'un salaire fixe. Tel serait le cas ici, dans la mesure où, selon elle, l'intéressée utilisait son réseau professionnel pour promouvoir et dénicher des affaires pour l'intimée, où elle n'assumait pas le risque de l'affaire apportée, où elle n'avait pas le droit à une part du bénéfice en lien avec celle-ci et où elle bénéficiait en échange d'un salaire fixe pour le travail effectué. L'intimée soutient en outre que la recourante aurait agi de mauvaise foi et ratifié le contrat, dans la mesure où, malgré ses doutes quant à la réalité du contrat de travail et du salaire perçu depuis le mois d'octobre 2019, elle aurait continué à encaisser les primes d'assurance sur ce salaire, sans jamais remettre en cause la police d'assurance.</w:t>
      </w:r>
    </w:p>
    <w:p>
      <w:r>
        <w:rPr>
          <w:b/>
        </w:rPr>
        <w:t>E. 3.5</w:t>
      </w:r>
    </w:p>
    <w:p>
      <w:r>
        <w:t>Demeure ici litigieux le critère du lien de subordination entre l'intéressée et la société intimée et la mesure dans laquelle ce critère devrait être relativisé. Il ressort des constatations factuelles de la cour cantonale que l'intéressée pouvait travailler où et quand elle le souhaitait. Il ne ressort pas de l'arrêt entrepris que l'intéressée eût été soumise à des instructions de la part des administrateurs. Au contraire, les deux couples exploitant la société travaillaient sur un pied d'égalité. Dans sa subsomption, la cour cantonale a omis de prendre en compte un indice s'opposant à la qualification de contrat de travail, soit l'absence de dépendance économique de l'intéressée, dans la mesure où celle-ci était également active pour deux autres sociétés et que son taux d'activité s'élevait à 50 % s'agissant de D.________ Sàrl. Au vu de ces éléments, force est de constater que le critère du rapport de subordination fait défaut en l'espèce. Dans la mesure où l'intéressée était " responsable du marketing ", où son activité consistait dans la recherche de terrains et de clients et où il ne ressort pas de l'arrêt entrepris qu'elle aurait été administratrice de l'intimée, l'intéressée ne saurait être qualifiée de dirigeante de l'intimée. C'est dès lors à tort que la cour cantonale a retenu que le critère du lien de subordination, qui permet de distinguer le contrat de travail des autres contrats de prestation de services, devait être relativisé en raison de la spécificité des rapports entre l'intéressée et les administrateurs de la société. Si l'on doit donc donner raison à la cour cantonale lorsqu'elle estime que l'absence de lien de subordination ne permet pas de qualifier le contrat conclu de contrat de travail, on doit lui donner tort lorsqu'elle estime que ce critère doit être relativisé et que la modification de la rémunération mensuelle, qui a été portée de 7'500 fr. le 1er janvier 2018 à 25'000 fr. le 28 février 2019 avec effet rétroactif au 1 er janvier 2019, est déterminante et typique d'un contrat de travail. La cour cantonale a retenu que l'augmentation de la rémunération de l'intéressée était liée au fait que son activité avait permis une importante augmentation du chiffre d'affaires de la société et non à une modification de son cahier des charges ou de ses responsabilités. On ne voit en effet pas que l'intéressée puisse prétendre à l'égard de son mari et de ses associés à un tel salaire sur la durée, et ce sans égard aux affaires qu'elle apporte à la société, et donc aux bénéfices de celle-ci, et que c'est la société qui assume le risque de l'entreprise et devrait lui verser ce salaire sans condition. Sans qu'il ne soit nécessaire de parler de fraude ou de contrat simulé, il suffit de constater que les parties étaient dans l'erreur quant à la qualification du contrat, soit de l'activité exercée par l'intéressée dans cette entreprise familiale. On relèvera encore que la rémunération de l'intéressée était versée sur le compte de son mari, sur lequel elle avait une procuration, et qu'elle a demandé et obtenu une avance de salaire de 120'000 fr. pour faire des travaux dans leur chalet au mois d'avril 2019. Au vu de ces derniers éléments, des rapports personnels, de l'absence de lien de subordination et de la rémunération revue à la hausse uniquement en raison du bénéfice tiré par la société d'une promotion que l'intéressée lui avait apportée, le contrat liant la société et l'intéressée doit être qualifié de mandat. Dès lors que la police d'assurance litigieuse requiert l'existence d'un contrat de travail, ce que l'intimée ne conteste pas, le droit aux prestations d'assurance-maladie collective n'est pas ouvert. Le grief de la recourante doit dès lors être admis. Au vu de l'issue de ce grief, il n'est pas nécessaire d'examiner les autres griefs de la recourante.</w:t>
      </w:r>
    </w:p>
    <w:p>
      <w:r>
        <w:rPr>
          <w:b/>
        </w:rPr>
        <w:t>E. 3.6</w:t>
      </w:r>
    </w:p>
    <w:p>
      <w:r>
        <w:t>L'intimée soutient que la recourante aurait fait preuve de mauvaise foi et ratifié le contrat en continuant, malgré ses doutes quant à l'existence d'un contrat de travail et d'un salaire, d'encaisser des primes d'assurance relatives audit salaire. Dès lors que l'arrêt entrepris ne constate pas que la société d'assurance aurait continué d'encaisser lesdites primes et que l'intimée ne sollicite pas valablement le complètement de l'état de fait sur ce point, en indiquant avec précision qu'elle avait dûment allégué et prouvé ce fait devant la cour cantonale (cf. supra consid. 2.1), le grief de l'intimée est irrecevable.</w:t>
      </w:r>
    </w:p>
    <w:p>
      <w:r>
        <w:rPr>
          <w:b/>
        </w:rPr>
        <w:t>E. 3.7</w:t>
      </w:r>
    </w:p>
    <w:p>
      <w:r>
        <w:t>Partant, la demande de la société doit être rejetée et la demande reconventionnelle de la société d'assurance admise. Dans la mesure où la recourante conclut à ce que le montant de 13'151 fr. porte intérêts au 5 septembre 2019, où l'arrêt entrepris a constaté que la société d'assurance avait indemnisé la société à hauteur dudit montant le 7 septembre 2019 (cf. supra consid. A.f) et où la recourante ne démontre pas l'arbitraire de cette constatation, ce montant portera intérêts à compter de cette date-ci.</w:t>
      </w:r>
    </w:p>
    <w:p>
      <w:r>
        <w:rPr>
          <w:b/>
        </w:rPr>
        <w:t>E. 4</w:t>
      </w:r>
    </w:p>
    <w:p>
      <w:r>
        <w:t>Au vu de ce qui précède, le recours doit être admis et l'arrêt annulé et réformé, en ce sens que la demande de la société est rejetée et la demande reconventionnelle de la société d'assurance admise sous réserve du dies a quo des intérêts. Les frais judiciaires et les dépens de la procédure fédérale seront mis à la charge de l'intimée, qui succombe (art. 66 al. 1 et art. 68 al. 1 et 2 LTF ). La cause sera retournée à la cour cantonale pour nouvelle décision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