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141/2020 vom 4. September 2020</w:t>
      </w:r>
    </w:p>
    <w:p>
      <w:r>
        <w:t>Bundesgericht, 2020-09-04, FR</w:t>
      </w:r>
    </w:p>
    <w:p>
      <w:r>
        <w:rPr>
          <w:b/>
        </w:rPr>
        <w:t xml:space="preserve">Quelle: </w:t>
      </w:r>
      <w:r>
        <w:t>https://mcp.opencaselaw.ch/entscheid/bger_4A_141_2020</w:t>
      </w:r>
    </w:p>
    <w:p>
      <w:r>
        <w:t>FR: TF 4A 141/2020 du 4 septembre 2020</w:t>
      </w:r>
    </w:p>
    <w:p>
      <w:r>
        <w:t>IT: TF 4A 141/2020 del 4 settembre 2020</w:t>
      </w:r>
    </w:p>
    <w:p>
      <w:pPr>
        <w:pStyle w:val="Heading2"/>
      </w:pPr>
      <w:r>
        <w:t>Regeste</w:t>
      </w:r>
    </w:p>
    <w:p>
      <w:r>
        <w:t>Actions en annulation et en constatation de la nullité des décisions de l'assemblée générale (art. 706 ss CO), | Droit des sociétés</w:t>
      </w:r>
    </w:p>
    <w:p>
      <w:pPr>
        <w:pStyle w:val="Heading2"/>
      </w:pPr>
      <w:r>
        <w:t>Erwägungen</w:t>
      </w:r>
    </w:p>
    <w:p>
      <w:r>
        <w:rPr>
          <w:b/>
        </w:rPr>
        <w:t>E. 1</w:t>
      </w:r>
    </w:p>
    <w:p>
      <w:r>
        <w:t>Interjeté en temps utile (art. 100 al. 1 et 45 al. 1 LTF) par le demandeur qui a succombé dans ses conclusions, contre une décision finale ( art. 90 LTF ) prise sur appel - dans une procédure menée suite au renvoi de la cause par le Tribunal fédéral - par le tribunal supérieur du canton ( art. 75 LTF ) sur actions en annulation, respectivement en constatation de la nullité des décisions de l'assemblée générale ordinaire de deux sociétés ( art. 72 al. 1 LTF ), dont la valeur litigieuse est supérieure à 30'000 fr. ( art. 74 al. 1 let. b LTF ), le recours en matière civile est recevable.</w:t>
      </w:r>
    </w:p>
    <w:p>
      <w:r>
        <w:rPr>
          <w:b/>
        </w:rPr>
        <w:t>E. 2.1</w:t>
      </w:r>
    </w:p>
    <w:p>
      <w:r>
        <w:t>Le principe de l'autorité de l'arrêt de renvoi du Tribunal fédéral - que prévoyait expressément l' art. 66 al. 1 OJ et qui valait également en cas d'annulation sur recours de droit public, pour violation des droits constitutionnels ( ATF 122 I 250 consid. 2) - est un principe juridique qui demeure applicable sous l'empire de la LTF ( ATF 135 III 334 consid. 2 p. 335). En vertu de ce principe,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 ATF 131 III 91 consid. 5.2 p. 94 s.).</w:t>
      </w:r>
    </w:p>
    <w:p>
      <w:r>
        <w:rPr>
          <w:b/>
        </w:rPr>
        <w:t>E. 2.2</w:t>
      </w:r>
    </w:p>
    <w:p>
      <w:r>
        <w:t>Par arrêt du 28 novembre 2017, la Cour de justice, statuant sur renvoi de la cause par le Tribunal fédéral, a relevé que celui-ci n'avait pas tranché la question de savoir si les décisions prises par l'assemblée générale étaient nulles en raison du fait que l'ordre du jour ne prévoyait pas la question de la révocation du demandeur comme administrateur, dès lors qu'elle sortait du cadre fixé par l'ordonnance de limitation de la procédure du tribunal de première instance (cf. art. 125 let. a CPC ). La Cour de justice a indiqué que cette question devait dorénavant être instruite et que le respect du double degré de juridiction commandait de renvoyer la cause pour instruction au tribunal de première instance (cf. arrêt entrepris p. 12 ch. 37). La question litigieuse a alors fait l'objet du jugement du Tribunal de première instance du 18 juin 2019, puis de l'arrêt de la Cour de justice du 23 janvier 2020, attaqué devant la Cour de céans.</w:t>
      </w:r>
    </w:p>
    <w:p>
      <w:r>
        <w:rPr>
          <w:b/>
        </w:rPr>
        <w:t>E. 3</w:t>
      </w:r>
    </w:p>
    <w:p>
      <w:r>
        <w:t>Dans son argumentation centrale, le recourant postule que, si les ordres du jour (identiques) avaient été rédigés correctement, soit avec la mention de la possible révocation de son mandat d'administrateur, il aurait agi avec diligence et rapidité et pris toutes les mesures utiles (et en particulier requis des mesures superprovisionnelles) pour empêcher que la décision de révocation ne soit prise par les assemblées générales. Selon lui, la cour cantonale a dès lors violé le droit en retenant qu'une rédaction correcte des ordres du jour n'aurait rien changé aux décisions de ces assemblées.</w:t>
      </w:r>
    </w:p>
    <w:p>
      <w:r>
        <w:rPr>
          <w:b/>
        </w:rPr>
        <w:t>E. 3.1</w:t>
      </w:r>
    </w:p>
    <w:p>
      <w:r>
        <w:t>En l'espèce, les ordres du jour des assemblées générales du 27 mai 2014 comportaient une rubrique " élection du conseil d'administration ", mais ne mentionnaient pas expressément l'éventualité de la révocation d'un membre de ce conseil. On observera d'emblée que l'assemblée générale de la première société (SI X.________ SA) s'est directement penchée sur la question de la révocation du demandeur, alors même que, pour cette société, la durée de fonction d'une année du demandeur administrateur était écoulée et qu'il eût été plus logique de décider du renouvellement de son mandat. En l'absence de décision de l'assemblée générale sur ce point, on peut se demander si, après le 27 mai 2014, le demandeur avait encore le statut d'administrateur (de la première société). Il n'y a toutefois pas lieu d'examiner cette question de manière approfondie (cf. à cet égard l' ATF 140 III 349 consid. 2.5 p. 353 s.) puisqu'il s'agit de toute façon de se prononcer sur la révocation en lien avec la seconde société (SA Y.________, qui prévoit une durée de fonction de trois ans, à partir de l'assemblée générale 2013 ([voir jugement de première instance p. 24 1er par.]) et que la question peut être tranchée définitivement sous cet angle, en lien avec les deux sociétés.</w:t>
      </w:r>
    </w:p>
    <w:p>
      <w:r>
        <w:rPr>
          <w:b/>
        </w:rPr>
        <w:t>E. 3.2</w:t>
      </w:r>
    </w:p>
    <w:p>
      <w:r>
        <w:t>Dans son arrêt de renvoi, la Cour de céans a déjà eu l'occasion de rappeler la distinction entre les causes de nullité ( art. 706b CO ) et les causes d'annulabilité ( art. 706-706a CO ), ainsi que les conséquences qui en découlent sur l'action en justice à introduire (cf. arrêt 4A_516/2016 déjà cité consid. 6). Le Tribunal fédéral a jugé à plusieurs reprises qu'une convocation ne comprenant pas un ordre du jour complet présente un défaut formel pouvant entraîner l'annulabilité de la décision de l'assemblée générale ( ATF 136 III 174 consid. 5.1; 116 II 713 consid. 3; arrêt 5A_760/2011 du 18 mai 2012 consid. 3.2.3). Si les décisions de l'assemblée générale sont affectées de vices graves, elles sont nulles. L'énumération des cas de décisions nulles figurant à l' art. 706b CO n'est pas exhaustive ( ATF 137 III 460 consid. 3.3.2; 115 II 468 consid. 3b). Toutefois, même dans ces cas, le vice de procédure formel ne peut entraîner la nullité d'une décision que si un déroulement correct de la procédure aurait abouti à une décision (hypothétique) différente (lien de causalité entre le vice invoqué et le contenu de la décision; cf. arrêts 4A_516/2106 déjà cité consid. 6.2; 4A_197/2008 du 24 juin 2008 consid. 2.3). Contrairement à ce que pense le recourant, on ne saurait tirer argument de l' ATF 137 III 460 (consid. 3.3) pour faire fi, en l'espèce, de l'exigence du lien de causalité, puisque ce précédent publié vise exclusivement le cas spécifique de la nullité d'une décision de la réunion de tous les actionnaires ( Universalversammlung ; art. 701 CO ).</w:t>
      </w:r>
    </w:p>
    <w:p>
      <w:r>
        <w:rPr>
          <w:b/>
        </w:rPr>
        <w:t>E. 3.3</w:t>
      </w:r>
    </w:p>
    <w:p>
      <w:r>
        <w:t>Il n'est pas nécessaire de déterminer si le vice affectant l'ordre du jour constitue en l'espèce un motif d'annulation ou de nullité des décisions prises au sujet de la composition du conseil d'administration. Dans la première hypothèse, le demandeur ne disposerait de toute façon pas de la qualité pour agir, comme cela résulte de l'arrêt de renvoi (arrêt 4A_516/2016 déjà cité consid. 8.2). Dans la seconde hypothèse, il conviendrait - comme l'a indiqué la cour cantonale (arrêt entrepris p. 18 dernier par.) - de constater qu'un déroulement correct de la procédure n'aurait pas mené à des décisions différentes des assemblées générales (en raison de l'absence de lien de causalité entre le vice affectant l'ordre du jour et les décisions des assemblées générales), comme on va maintenant le voir.</w:t>
      </w:r>
    </w:p>
    <w:p>
      <w:r>
        <w:rPr>
          <w:b/>
        </w:rPr>
        <w:t>E. 3.4</w:t>
      </w:r>
    </w:p>
    <w:p>
      <w:r>
        <w:t>Il résulte des constatations cantonales que le demandeur n'a " jamais pris de disposition pour qu'un représentant commun au sens de l' art. 690 al. 1 CO soit désigné et que rien ne permet de retenir - [le demandeur] ne le plaidant d'ailleurs pas - qu'il l'aurait fait si une éventuelle révocation de membres du conseil d'administration avait été mentionnée à l'ordre du jour " (arrêt entrepris p. 18 s.). La cour cantonale ajoute que, avant d'avoir initié la présente procédure, le demandeur ignorait d'ailleurs qu'il ne pouvait pas exercer lui-même les droits de vote liés aux actions dont il était cotitulaire avec sa soeur, la question de la nomination d'un représentant n'ayant été évoquée qu'après la décision du Tribunal de première instance du 30 octobre 2015 (arrêt entrepris p. 19).</w:t>
      </w:r>
    </w:p>
    <w:p>
      <w:r>
        <w:rPr>
          <w:b/>
        </w:rPr>
        <w:t>E. 3.4.1</w:t>
      </w:r>
    </w:p>
    <w:p>
      <w:r>
        <w:t>Dans la partie de son mémoire intitulée " B. Les faits à compléter ", le recourant s'évertue à vouloir démontrer que la cour cantonale n'a pas examiné complètement la situation qui aurait été la sienne dans l'hypothèse d'un ordre du jour correctement rédigé (acte de recours p. 4 ss). Selon lui, divers points de fait (et notamment sa requête de mesures superprovisionnelles ayant mené à l'ordonnance du 18 juin 2014) permettaient pourtant de mettre en évidence sa " réactivité " (acte de recours p. 6, 13) ou sa " réactivité potentielle " (acte de recours p. 13, 18, 19, 24) et de convaincre (rétroactivement) qu'il aurait, s'il avait su que les assemblées générales se prononceraient sur la révocation de son mandat d'administrateur, pu empêcher sa soeur " de prendre les décisions litigieuses ". Le recourant, qui requiert (de manière erronée) un complètement de l'état de fait, évoque aussi la violation de l' art. 9 Cst. , mais sans vraiment fournir, sous cet angle, de motivation circonstanciée qui permettrait de comprendre en quoi la cour cantonale aurait établi les faits de manière arbitraire (cf. art. 97 al. 1 et 106 al. 2 LTF). On peut dès lors douter de la recevabilité du moyen. La question peut toutefois rester ouverte puisque, comme on va le voir (cf. infra consid. 3.4.2), le grief doit être déclaré mal fondé, ce qui conduira au rejet intégral du recours.</w:t>
      </w:r>
    </w:p>
    <w:p>
      <w:r>
        <w:rPr>
          <w:b/>
        </w:rPr>
        <w:t>E. 3.4.2</w:t>
      </w:r>
    </w:p>
    <w:p>
      <w:r>
        <w:t>Le recourant fait état de sa " réactivité " pour tenter de convaincre que, s'il avait lu le terme de " révocation " sur les ordres du jour, il aurait tout de suite réagi (mémoire de recours p. 5 s.) et qu'il aurait consulté immédiatement son avocat pour faire déposer des mesures superprovisionnelles, comme il l'a d'ailleurs fait, ultérieurement, lorsque les assemblées générales ont prononcé son éviction (acte de recours p. 14). Le recourant fait grand cas des mesures superprovisionnelles (ayant conduit à l'ordonnance de l'autorité judiciaire du 18 juin 2014) qu'il a requises après que les décisions tendant à sa révocation ont été rendues. L'argumentation est impropre à démontrer le caractère insoutenable de la décision prise par la cour cantonale (selon laquelle la révocation aurait de toute façon été prononcée par les deux assemblées générales). D'une part, elle relève de la pure hypothèse : le fait que le recourant procède par la voie judiciaire après que la décision des assemblées générales fut prise ne permet pas d'emblée d'inférer que, si la convocation avait été complète, il aurait aussi agi par la même voie avant la tenue des assemblées générales, alors même qu'aucune décision n'avait encore été prise. D'autre part, l'argumentation du recourant s'appuie sur un mécanisme douteux : elle aurait de facto pour conséquence (non souhaitable) de faire fi du critère déterminant en l'espèce (qui est de savoir si une convocation complète et régulière aurait en soi mené à une décision différente des assemblées générales) et de permettre à l'actionnaire de faire confirmer, de sa propre initiative, le rapport de cause à effet entre le vice affectant la convocation et la décision prise par les assemblées générales (et, partant, de faire confirmer la nullité des décisions le concernant), simplement en prétendant qu'il aurait pu empêcher la prise de décision par les assemblées générales, en obtenant du juge le prononcé de mesures superprovisionnelles à son avantage. Dans une perspective différente, le recourant laisse également entendre que, à la réception de l'ordre du jour (par hypothèse complet), il aurait pu se concentrer sur la décision à venir (devant les assemblées générales) et " chercher à convaincre sa soeur et cohéritière de modifier son point de vue " ou faire les démarches pour désigner " un représentant commun du paquet d'actions non partagées " et convaincre ce représentant de s'opposer à la révocation (cf. acte de recours p. 23 et p. 15). Il se limite, par ces affirmations, à opposer aux constatations cantonales les hypothèses qui lui sont le plus favorables, sans toutefois faire la démonstration du caractère insoutenable de la décision prise par la cour cantonale. En conclusion, il résulte des constatations cantonales, exemptes de tout arbitraire, que le demandeur n'aurait de toute façon pas fait désigner de représentant commun (au sens de l' art. 690 CO ) si la révocation avait été explicitement portée à l'ordre du jour. Partant, le vice de procédure formel ne peut entraîner la nullité des décisions des assemblées générales. Sous un angle un peu différent, le recourant tente encore de tirer argument du fait que le fils de M.A.________, G.A.________, a pris sa place comme administrateur. Il soutient que celui-ci, ne détenant aucune action dans les deux sociétés, ne pouvait pas être nommé administrateur (mémoire de recours p. 7). On peine ici à comprendre l'argument qu'il entend tirer de ce point de fait, pour remettre en question sa révocation. On ne voit en particulier pas en quoi le contexte qu'il évoque (l'élection de G.A.________) serait susceptible de démontrer que c'est en se fondant sur des faits établis arbitrairement que la cour cantonale a retenu qu'une convocation régulière et correcte n'aurait pas abouti à des décisions différentes des assemblées générales.</w:t>
      </w:r>
    </w:p>
    <w:p>
      <w:r>
        <w:rPr>
          <w:b/>
        </w:rPr>
        <w:t>E. 3.5</w:t>
      </w:r>
    </w:p>
    <w:p>
      <w:r>
        <w:t>Dans un grief apparemment distinct, le recourant soutient enfin que, indépendamment de son argumentation sur sa " réactivité potentielle ", le " coup de jarnac " de sa soeur (qui, selon lui, a volontairement caché la révocation de ses mandats d'administrateur) constituerait en soi déjà un vice suffisamment grave (une violation frontale des structures de base de la société anonyme) entraînant la nullité des décisions prises par les assemblées générales (acte de recours p. 24 avant-dernier par.). L'argumentation du recourant s'appuie toutefois sur une constatation (le fait que sa soeur aurait intentionnellement rédigé un ordre du jour imprécis) qui ne résulte pas de l'état de fait dressé par la cour précédente. La critique, privée de tout fondement factuel, se révèle sans consistance. La même conclusion s'impose pour les autres moyens (principe de la transparence, abus de droit) évoqués par le recourant (et encore repris dans sa réplique, p. 10), qui reposent sur la même prémisse factuelle.</w:t>
      </w:r>
    </w:p>
    <w:p>
      <w:r>
        <w:rPr>
          <w:b/>
        </w:rPr>
        <w:t>E. 4</w:t>
      </w:r>
    </w:p>
    <w:p>
      <w:r>
        <w:t>Il résulte des considérations qui précèdent que le recours en matière civile doit être rejeté dans la mesure où il est recevable. Les frais judiciaires et les dépens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