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4A_141/2018 vom 4. September 2018</w:t>
      </w:r>
    </w:p>
    <w:p>
      <w:r>
        <w:t>Bundesgericht, 2018-09-04, FR</w:t>
      </w:r>
    </w:p>
    <w:p>
      <w:r>
        <w:rPr>
          <w:b/>
        </w:rPr>
        <w:t xml:space="preserve">Quelle: </w:t>
      </w:r>
      <w:r>
        <w:t>https://mcp.opencaselaw.ch/entscheid/bger_4A_141_2018</w:t>
      </w:r>
    </w:p>
    <w:p>
      <w:r>
        <w:t>FR: TF 4A_141/2018 du 4 septembre 2018</w:t>
      </w:r>
    </w:p>
    <w:p>
      <w:r>
        <w:t>IT: TF 4A_141/2018 del 4 settembre 2018</w:t>
      </w:r>
    </w:p>
    <w:p>
      <w:pPr>
        <w:pStyle w:val="Heading2"/>
      </w:pPr>
      <w:r>
        <w:t>Erwägungen</w:t>
      </w:r>
    </w:p>
    <w:p>
      <w:r>
        <w:rPr>
          <w:b/>
        </w:rPr>
        <w:t>E. 1.1</w:t>
      </w:r>
    </w:p>
    <w:p>
      <w:r>
        <w:t>Le principe de l'autorité de l'arrêt de renvoi du Tribunal fédéral, que prévoyait expressément l'art. 66 al. 1 aOJ, est un principe juridique qui demeure applicable sous l'empire de la LTF ( ATF 135 III 334 consid. 2 p. 335; arrêt 5A_139/2013 du 31 juillet 2013 consid. 3.1, non publié in ATF 139 III 391 mais in Pra. 2014 n° 19 p. 136; 4A_58/2017 du 23 mai 2017 consid. 2).</w:t>
      </w:r>
    </w:p>
    <w:p>
      <w:r>
        <w:t>En vertu de ce principe, l'autorité cantonale à laquelle une affaire est renvoyée est tenue de fonder sa nouvelle décision sur les considérants de droit de l'arrêt du Tribunal fédéral; sa cognition est limitée par les motifs de l'arrêt de renvoi ( ATF 131 III 91 consid. 5.2 p. 94 s.; arrêt 5A_139/2013 déjà cité, ibidem).</w:t>
      </w:r>
    </w:p>
    <w:p>
      <w:r>
        <w:t>Saisi d'un recours contre la nouvelle décision, le Tribunal fédéral est aussi lié par son arrêt de renvoi ( ATF 125 III 421 consid. 2a p. 423); il ne saurait se fonder sur des motifs qu'il avait écartés ou dont il avait fait abstraction dans sa précédente décision ( ATF 111 II 94 consid. 2 p. 95).</w:t>
      </w:r>
    </w:p>
    <w:p>
      <w:r>
        <w:rPr>
          <w:b/>
        </w:rPr>
        <w:t>E. 1.2</w:t>
      </w:r>
    </w:p>
    <w:p>
      <w:r>
        <w:t>Par arrêt de renvoi du 22 juin 2017 (4A_1/2017), le Tribunal fédéral a admis le recours, annulé l'arrêt attaqué et renvoyé la cause à la cour cantonale pour complètement de l'état de fait et nouvelle décision dans le sens des considérants. Il résulte des considérants de cet arrêt que le Tribunal fédéral a renvoyé la cause à la cour cantonale pour qu'elle indique les motifs pour lesquels il y avait eu changement dans sa composition entre l'arrêt de renvoi du 26 janvier 2015 et l'arrêt final du 14 novembre 2016, motifs qui n'étaient pas indiqués dans ce dernier arrêt cantonal. En pratique, dans un tel cas, pour des raisons d'économie de procédure, le Tribunal fédéral annule également l'arrêt attaqué (cf. art. 112 al. 3 LTF ), de façon à ce que le recourant puisse interjeter un nouveau recours en matière civile, en se déterminant sur les motifs que la cour cantonale aura indiqués (en l'occurrence au sujet de la violation de l' art. 30 al. 1 Cst. ).</w:t>
      </w:r>
    </w:p>
    <w:p>
      <w:r>
        <w:t>En vertu de cet arrêt de renvoi du Tribunal fédéral, la cour cantonale ne pouvait qu'indiquer ses motifs, mais ne pouvait modifier ni la composition de la cour pour rendre son nouvel arrêt, ni les motifs de son admission de l'action du demandeur. Elle aurait pu choisir d'indiquer les motifs qui lui étaient demandés dans un seul arrêt final ( art. 90 LTF ). Elle a choisi de rendre d'abord un arrêt séparé le 8 novembre 2017 en indiquant les motifs pour lesquels la composition de la Chambre avait changé, puis un arrêt final sur le fond le 29 janvier 2018.</w:t>
      </w:r>
    </w:p>
    <w:p>
      <w:r>
        <w:t>Cet arrêt séparé du 8 novembre 2017, adressé aux parties le même jour, et à la fin duquel, la cour a indiqué aux parties quelle était la voie de droit - le recours en matière civile au Tribunal fédéral - et le délai - 30 jours - pour le contester, est une décision incidente au sens de l' art. 92 LTF . En effet, toute décision qui se prononce séparément sur la composition régulière de l'autorité qui entend statuer ensuite sur le fond est une décision au sens de cette disposition. Il s'agit en effet d'une question préliminaire qui doit être définitivement liquidée sans attendre la suite de la procédure (BERNARD CORBOZ, in Commentaire de la LTF, 2e éd. 2014, no 18 ad art. 92 LTF , avec référence au Message du Conseil fédéral FF 2001 p. 4131) et qui est irrecevable parce que tardive si elle est soulevée seulement avec l'arrêt final ( art. 92 al. 2 LTF ). Comme en matière de compétence, il n'est pas nécessaire qu'un point du dispositif soit expressément consacré à la composition régulière; il suffit que l'on puisse déduire de la décision que l'autorité a tranché la question de sa " compétence " (cf. ATF 138 III 190 consid. 5 p. 191).</w:t>
      </w:r>
    </w:p>
    <w:p>
      <w:r>
        <w:t>Il s'ensuit que les griefs d'" arbitraire dans l'établissement des faits ( art. 9 Cst. ) ", en réalité d'établissement incomplet des éléments de fait (qui résultent de l'arrêt du 8 novembre 2017 au sujet de la composition de la Chambre des baux et loyers et qui n'ont pas été repris dans l'arrêt sur le fond du 29 janvier 2018), et le grief de composition irrégulière de la Chambre en violation de l' art. 30 al. 1 Cst. , formulés par la recourante dans son recours du 5 mars 2018 sont tardifs puisqu'ils n'ont pas été interjetés dans le délai de 30 jours à compter de la réception de l'arrêt du 8 novembre 2017, adressé aux parties le même jour, comme le lui précisait la mention de l'indication du délai et de la voie de recours. Il est sans incidence que la cour cantonale ait complété les faits sur ce point dans son arrêt final du 29 janvier 2018; un tel complément ne fait pas courir un nouveau délai de recours au Tribunal fédéral. Il est également sans importance que, dans son arrêt du 8 novembre 2017, la cour cantonale ait fixé aux parties un délai pour déposer des observations et que la bailleresse ait requis que la cour rende son arrêt sur le fond dans une nouvelle composition, dès lors qu'à la suite de l'arrêt de renvoi du Tribunal fédéral du 22 juin 2017, la bailleresse ne pouvait soulever ses griefs au sujet de la composition de la Chambre des baux et loyers que par un nouveau recours au Tribunal fédéral.</w:t>
      </w:r>
    </w:p>
    <w:p>
      <w:r>
        <w:t>Tardifs, les griefs relatifs à la composition régulière de la Chambre sont donc irrecevables.</w:t>
      </w:r>
    </w:p>
    <w:p>
      <w:r>
        <w:rPr>
          <w:b/>
        </w:rPr>
        <w:t>E. 2</w:t>
      </w:r>
    </w:p>
    <w:p>
      <w:r>
        <w:t>En tant qu'il concerne le fond de la cause, le recours a été interjeté en temps utile (art. 100 al. 1 et 45 al. 1 LTF) et les autres conditions de recevabilité sont réunies comme cela a déjà été constaté dans l'arrêt de renvoi du 22 juin 2017 (4A_1/2017 consid. 1).</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Lorsqu'il reproche à la cour cantonale d'avoir omis un fait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3.2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4</w:t>
      </w:r>
    </w:p>
    <w:p>
      <w:r>
        <w:t>La bailleresse recourante soutient tout d'abord qu'un transfert du bail de la défunte à un seul des héritiers nécessite l'accord du ou des autres héritiers. Elle se plaint à cet égard d'un état de fait incomplet, la cour n'ayant pas constaté que le demandeur s'était présenté à elle comme seul héritier, et qu'elle ne pouvait donc conclure un bail avec le demandeur tant qu'elle n'était pas certaine qu'il n'existait pas d'autre héritier.</w:t>
      </w:r>
    </w:p>
    <w:p>
      <w:r>
        <w:rPr>
          <w:b/>
        </w:rPr>
        <w:t>E. 4.1</w:t>
      </w:r>
    </w:p>
    <w:p>
      <w:r>
        <w:t>Selon l' art. 560 CC , les héritiers acquièrent de plein droit l'universalité de la succession dès que celle-ci est ouverte (al. 1); ils sont saisis des créances et actions, des droit de propriété et autres droits réels, ainsi que des biens qui se trouvaient en la possession du défunt, et ils sont personnellement tenus de ses dettes, sous réserve des exceptions prévues par la loi (al. 2).</w:t>
      </w:r>
    </w:p>
    <w:p>
      <w:r>
        <w:t>Le bail du défunt fait partie de sa succession et passe de plein droit aux héritiers, qui prennent sa place dans la relation contractuelle avec le bailleur. Selon la jurisprudence toutefois, seul le ou les héritiers qui habitaient avec le défunt dans le logement et qui lui succèdent dans la relation contractuelle jouissent de la protection conférée par l' art. 271a al. 1 let . f CO; lorsqu'un enfant adulte succède au locataire décédé, cette protection est réservée à une personne qui habitait le logement à titre principal avec le défunt, mais est refusée à celui qui ne séjournait que de manière intermittente avec le défunt (arrêt 4A_34/2017 du 18 avril 2017 consid. 5; 4A_195/2016 du 9 septembre 2016 consid. 1.2).</w:t>
      </w:r>
    </w:p>
    <w:p>
      <w:r>
        <w:t>Selon la jurisprudence également, par exception à la règle de l'action commune des membres de la communauté héréditaire ( art. 602 CC ), chaque héritier peut agir seul en annulation de la résiliation (respectivement en nullité ou inefficacité de cette résiliation) lorsque son ou ses cohéritiers s'y refusent, pour autant qu'il assigne également celui ou ceux-ci en justice à côté du bailleur (cf. ATF 4A_689/2016 du 28 août 2017 consid. 4.1). Il en découle que l'héritier qui habitait à titre principal avec le défunt a la qualité pour agir seul en annulation de la résiliation du bail (respectivement en nullité ou inefficacité de cette résiliation) et, s'ils étaient plusieurs dans ce cas et que leur (s) cohéritier (s) refuse (nt) d'agir en justice, à condition d'assigner celui-ci (ou ceux-ci) en justice à côté du bailleur.</w:t>
      </w:r>
    </w:p>
    <w:p>
      <w:r>
        <w:rPr>
          <w:b/>
        </w:rPr>
        <w:t>E. 4.2</w:t>
      </w:r>
    </w:p>
    <w:p>
      <w:r>
        <w:t>En l'espèce, la cour cantonale n'a pas constaté si le demandeur et sa famille utilisaient l'appartement (et les deux boxes) avec la défunte. En revanche, elle a retenu au consid. 4.7 p. 14 de son arrêt qu'il était établi que la soeur était d'accord avec le transfert du bail à son frère, et donc qu'elle ne faisait valoir aucune prétention à ce titre.</w:t>
      </w:r>
    </w:p>
    <w:p>
      <w:r>
        <w:t>Il s'ensuit que, puisque la bailleresse ne soutient même pas que la soeur résidait dans l'appartement litigieux et qu'elle aurait eu, à ce titre, un droit à se voir transférer le bail, son grief d'établissement incomplet des faits porte sur un fait non pertinent.</w:t>
      </w:r>
    </w:p>
    <w:p>
      <w:r>
        <w:rPr>
          <w:b/>
        </w:rPr>
        <w:t>E. 5</w:t>
      </w:r>
    </w:p>
    <w:p>
      <w:r>
        <w:t>La bailleresse recourante fait grief à la cour cantonale d'avoir admis que le bail a été transféré au demandeur sur la base d'une interprétation objective du courrier de la régie du 5 janvier 2011. Elle lui reproche d'avoir omis un fait, d'avoir apprécié arbitrairement les preuves en constatant l'absence de volonté réelle et commune des parties ( art. 9 Cst. ) et d'avoir violé le principe de la confiance dans l'interprétation du courrier de la régie du 5 janvier 2011.</w:t>
      </w:r>
    </w:p>
    <w:p>
      <w:r>
        <w:rPr>
          <w:b/>
        </w:rPr>
        <w:t>E. 5.1.1</w:t>
      </w:r>
    </w:p>
    <w:p>
      <w:r>
        <w:t>En droit suisse des contrats, la question de savoir si les parties ont conclu un accord est soumise au principe de la priorité de la volonté subjective sur la volonté objective ( ATF 144 III 93 consid. 5.2.1; 123 III 35 consid. 2b p. 39).</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tatsächliches Konsens ); si au contraire, alors qu'elles se sont comprises, elles ne sont pas parvenues à s'entendre, ce dont elles étaient d'emblée conscientes, il y a un désaccord patent (</w:t>
      </w:r>
    </w:p>
    <w:p>
      <w:r>
        <w:t>offener Dissens ) et le contrat n'est pas conclu.</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(cf. ATF 144 III 93 précité consid. 5.2.1; 123 III 35 précité consid. 2b p. 39; GAUCH/SCHLUEP/SCHMID, Schweizerisches Obligationenrecht, Allgemeiner Teil, T. I, 2014, n. 308 ss).</w:t>
      </w:r>
    </w:p>
    <w:p>
      <w:r>
        <w:rPr>
          <w:b/>
        </w:rPr>
        <w:t>E. 5.1.2</w:t>
      </w:r>
    </w:p>
    <w:p>
      <w:r>
        <w:t>En procédure, le juge doit donc rechercher, dans un premier temps, la réelle et commune intention des parties (interprétation subjective),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w:t>
      </w:r>
    </w:p>
    <w:p>
      <w:r>
        <w:rPr>
          <w:b/>
        </w:rPr>
        <w:t>E. 5.1.3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 arrêts 4A_508/2016 déjà cité consid. 6.2; 4A_98/2016 déjà cité consid. 5.1).</w:t>
      </w:r>
    </w:p>
    <w:p>
      <w:r>
        <w:t>Ainsi, en cas d'échec dans la détermination de la volonté subjective des parties, il n'y a pas place pour une application de la règle sur le fardeau de la preuve de l' art. 8 CC , car si le juge ne parvient pas à déterminer leur volonté réelle et commune, il doit encore rechercher comment leurs déclarations pouvaient et devaient être comprises selon la bonne foi. L' art. 8 CC ne joue de rôle que dans l'établissement des circonstances concrètes nécessaires pour procéder à l'interprétation (qu'il s'agisse d'ailleurs de l'interprétation subjective ou objective; ATF 144 III 93 consid. 5.1.1; arrêts 4A_463/2017 du 4 mai 2018 consid. 4.1; 4A_290/2017 du 12 mars 2018 consid. 5.1).</w:t>
      </w:r>
    </w:p>
    <w:p>
      <w:r>
        <w:rPr>
          <w:b/>
        </w:rPr>
        <w:t>E. 5.1.4</w:t>
      </w:r>
    </w:p>
    <w:p>
      <w:r>
        <w:t>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art. 18 al. 1 CO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p. 424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p. 67 et les arrêts cités).</w:t>
      </w:r>
    </w:p>
    <w:p>
      <w:r>
        <w:rPr>
          <w:b/>
        </w:rPr>
        <w:t>E. 5.2</w:t>
      </w:r>
    </w:p>
    <w:p>
      <w:r>
        <w:t>Selon le système légal, la représentation de la société anonyme se fait par le conseil d'administration, chaque membre de ce conseil ayant, sauf disposition contraire des statuts ou du règlement d'organisation, le pouvoir de représenter la société ( art. 718 al. 1 CO ).</w:t>
      </w:r>
    </w:p>
    <w:p>
      <w:r>
        <w:t>La société peut toutefois prévoir conventionnellement d'autres systèmes de représentation et, notamment, recourir - comme l'a fait la bailleresse en mandatant la régie - à un représentant au sens des art. 32 ss CO . Lorsqu'une partie au contrat manifeste sa volonté par l'intermédiaire d'un représentant ( art. 32 al. 1 CO ), c'est la volonté exprimée par le représentant qui est déterminante pour savoir si un contrat a été conclu ( art. 1 CO ). Dès lors, l'interprétation de celui-ci quant à son contenu ( art. 18 al. 1 CO ) se détermine en fonction de ce que voulait le représentant. Les déclarations du représentant sont imputées au représenté conformément à l' art. 32 al. 1 CO , le représentant engageant également le représenté par ce qu'il savait ou devait savoir ( ATF 140 III 86 consid. 4.1 et les références; à propos des vices de la volonté à apprécier en la personne du représentant, cf. arrêt 4A_303/2007 du 29 novembre 2007 consid. 3.4.3).</w:t>
      </w:r>
    </w:p>
    <w:p>
      <w:r>
        <w:rPr>
          <w:b/>
        </w:rPr>
        <w:t>E. 5.3</w:t>
      </w:r>
    </w:p>
    <w:p>
      <w:r>
        <w:t>En l'occurrence, d'un côté, le demandeur se prévalait d'avoir obtenu l'accord oral de l'administrateur de la bailleresse au transfert du bail en sa faveur lors d'un entretien qu'ils ont eu le 29 novembre 2011, accord concrétisé dans le courrier de la régie du 5 janvier 2011 et, de l'autre côté, la bailleresse défenderesse soutenait que son administrateur n'avait alors jamais donné son accord à un transfert, invitant le demandeur à s'adresser à la régie, une décision ne pouvant être prise qu'une fois son dossier complet.</w:t>
      </w:r>
    </w:p>
    <w:p>
      <w:r>
        <w:t>La cour cantonale a constaté que le contenu des échanges oraux qu'ont eu le demandeur et l'administrateur n'a pas pu être établi. Les parties divergeant sur la question de savoir qui avait informé la régie de la demande de transfert du bail, la cour cantonale a déclaré ne pas être convaincue par les témoignages des employés de la régie, qui affirmaient en procédure que c'était le demandeur, sans pour autant lui reprocher d'avoir faussement indiqué qu'il avait obtenu l'accord oral de l'administrateur, et elle a estimé qu'il n'était pas exclu que l'administrateur ait donné son accord puisqu'il lui arrivait d'intervenir directement auprès de la régie pour favoriser un locataire de son choix et qu'il n'était donc pas impossible qu'il ait voulu, dans un premier temps, favoriser le demandeur. Elle a également constaté que le courrier de la régie du 5 janvier avait été établi dans des circonstances peu claires et que la demande de documents complémentaires un mois plus tard n'est pas décisive pour déterminer si, le 5 janvier 2011, une volonté de s'engager au transfert existait.</w:t>
      </w:r>
    </w:p>
    <w:p>
      <w:r>
        <w:t>Curieusement la cour cantonale a conclu que " les parties se sont exprimées de manière concordante en déclarant toutes deux vouloir le transfert du bail, mais [qu']il apparaît que la volonté de [la bailleresse] de transférer le bail n'a, elle, pas pu être démontrée ", alors qu'on ne voit pas quelles manifestations de volonté concordantes de transfert auraient été exprimées oralement et mal comprises. Toutefois, force est d'admettre qu'en présence d'interprétations divergentes d'un entretien oral dont le contenu n'a pas été établi et de circonstances peu claires de la rédaction du courrier de la régie du 5 janvier 2011, la cour cantonale n'est pas tombée dans l'arbitraire en constatant l'échec de la détermination de la volonté subjective des parties.</w:t>
      </w:r>
    </w:p>
    <w:p>
      <w:r>
        <w:t>La bailleresse souhaiterait démontrer que cette volonté subjective a au contraire été établie, en ce sens qu'elle avait réservé son accord final et que le demandeur l'avait bien compris. Elle laisse ainsi entendre que les parties se sont comprises, mais qu'elles ne se sont pas entendues sur le transfert du bail. Il existerait dès lors un désaccord patent (</w:t>
      </w:r>
    </w:p>
    <w:p>
      <w:r>
        <w:t>offener Dissens ) sur ce dernier point, ce qui permettrait de conclure à l'absence d'accord et exclurait de procéder à l'interprétation selon le principe de la confiance (cf. supra consid. 5.1.1). Par ses critiques appellatoires, la bailleresse recourante ne parvient toutefois pas à démontrer que les parties ont eu la réelle et commune volonté de permettre au demandeur de seulement déposer une demande de location, de produire toutes les pièces nécessaires et de laisser à la bailleresse la décision d'accepter ou non cette demande, ce d'autant que l'administrateur, qui avait l'intention d'attribuer l'appartement à quelqu'un d'autre de sa connaissance n'a pas mentionné au demandeur qu'il n'entendait pas lui remettre les baux pour cette raison. En particulier, ni ses affirmations au sujet de la crédibilité des témoignages des employés de la régie, ni le fait que le demandeur a été invité à produire des documents complémentaires " pour le bon ordre de nos dossiers " n'attestent du fait que la bailleresse avait réservé son accord final et que le demandeur l'avait compris. Les autres éléments invoqués pêle-mêle (i.e. la mise en garde contre une répudiation, le défaut d'envoi d'un avenant) n'y changent rien. On relève enfin que, contrairement à ce qu'affirme la recourante, la cour cantonale n'a pas omis que la bailleresse avait déclaré que son administrateur passait systématiquement par la régie pour conclure des baux, mais que la cour a estimé, par appréciation des preuves, qu'il n'était pas exclu qu'il ait donné son accord au demandeur puisqu'il lui arrivait d'intervenir auprès de la régie pour favoriser un locataire de son choix. Or, la recourante ne démontre pas l'arbitraire de cette constatation.</w:t>
      </w:r>
    </w:p>
    <w:p>
      <w:r>
        <w:t>C''est donc à raison que la cour cantonale a constaté l'échec de la recherche de la volonté subjective des parties et a procédé à la détermination de leur volonté objective, en application du principe de la confiance.</w:t>
      </w:r>
    </w:p>
    <w:p>
      <w:r>
        <w:rPr>
          <w:b/>
        </w:rPr>
        <w:t>E. 5.4</w:t>
      </w:r>
    </w:p>
    <w:p>
      <w:r>
        <w:t>Pour ce faire, la cour cantonale s'est fondée sur le courrier de la régie du 5 janvier 2011, dont la teneur est la suivante:</w:t>
      </w:r>
    </w:p>
    <w:p>
      <w:r>
        <w:t>" Vous avez été en contact avec la société propriétaire et celle-ci est disposée à conclure les baux aux mêmes conditions pour les objets cités en marge (i.e. appartement de sept pièces et deux garages). Pour le bon ordre de nos dossiers et afin que nous puissions procéder à l'établissement de ces documents, nous vous saurions gré de nous transmettre la photocopie du certificat d'héritiers. En outre, vous voudrez également nous retourner la demande de location ci-jointe, dûment complétée et signée, avec photocopie des pièces d'identité, trois dernières fiches de salaire et attestations de l'Office des poursuites."</w:t>
      </w:r>
    </w:p>
    <w:p>
      <w:r>
        <w:t>La cour cantonale a considéré que lorsque la propriétaire, par sa régie, écrit " être disposée " à transférer le bail, elle pouvait être comprise de bonne foi par le destinataire comme ayant " décidé " de transférer le bail, précisant que cette déclaration est une affirmation dénuée d'ambiguïté de l'accord de la propriétaire de transférer le bail. Elle a ajouté que cette déduction était renforcée par la demande de production de documents complémentaires " pour le bon ordre de nos dossiers ", qui implique que ces documents ne sont exigés que pour la forme, et non en vue de l'examen d'une demande de location, et que la formule de demande de location peut être comprise comme destinée à recueillir des informations à jour sur le locataire, afin d'établir le contrat écrit. Elle a ajouté qu'il n'existe pas d'éléments antérieurs suffisamment établis qui permettent de modifier l'interprétation de ce texte. Les événements postérieurs ne peuvent être pris en considération dans le cadre de l'interprétation objective. Elle a donc jugé que le demandeur, destinataire du courrier, doit être protégé dans sa compréhension de ce courrier.</w:t>
      </w:r>
    </w:p>
    <w:p>
      <w:r>
        <w:t>Cette appréciation (juridique) ne peut qu'être confirmée dès lors que, de bonne foi, on déduit de ce courrier que le transfert du bail était accepté, les pièces requises l'étant pour la bonne forme (et non en vue de l'examen d'une demande). Les critiques de la recourante, qui joue sur les mots, n'y changent rien. Comme elle semble l'ignorer, c'est le lieu de lui rappeler, trois choses: premièrement, si la recherche de la volonté subjective n'a pas abouti, il n'y a pas place pour l'application de la règle sur le fardeau de la preuve de l' art. 8 CC , mais le juge doit déterminer comment la déclaration de volonté de la bailleresse pouvait ou devait être comprise selon la bonne foi; deuxièmement, selon le principe de la confiance, la volonté interne de s'engager de la bailleresse n'est pas seule déterminante, une obligation à sa charge pouvait découler de son comportement, dont l'autre partie pouvait de bonne foi déduire une volonté de s'engager; troisièmement, lorsque la bailleresse manifeste sa volonté par l'intermédiaire d'un représentant - en l'occurrence sa régie -, c'est la volonté du représentant telle qu'elle a été exprimée et pouvait ou devait être comprise de bonne foi qui est déterminante, même si elle ne correspond pas à la volonté interne de celui-ci ou encore à la volonté interne de la bailleresse.</w:t>
      </w:r>
    </w:p>
    <w:p>
      <w:r>
        <w:rPr>
          <w:b/>
        </w:rPr>
        <w:t>E. 6</w:t>
      </w:r>
    </w:p>
    <w:p>
      <w:r>
        <w:t>Il s'ensuit que le recours doit être rejeté dans la mesure où il est recevable.</w:t>
      </w:r>
    </w:p>
    <w:p>
      <w:r>
        <w:t>Les frais et les dépens de la procédure fédérale doivent être mis à la charge de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