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4A_141/2016 vom 26. Mai 2016</w:t>
      </w:r>
    </w:p>
    <w:p>
      <w:r>
        <w:t>Bundesgericht, 2016-05-26, FR</w:t>
      </w:r>
    </w:p>
    <w:p>
      <w:r>
        <w:rPr>
          <w:b/>
        </w:rPr>
        <w:t xml:space="preserve">Quelle: </w:t>
      </w:r>
      <w:r>
        <w:t>https://mcp.opencaselaw.ch/entscheid/bger_4A_141_2016</w:t>
      </w:r>
    </w:p>
    <w:p>
      <w:r>
        <w:t>FR: TF 4A_141/2016 du 26 mai 2016</w:t>
      </w:r>
    </w:p>
    <w:p>
      <w:r>
        <w:t>IT: TF 4A_141/2016 del 26 maggio 2016</w:t>
      </w:r>
    </w:p>
    <w:p>
      <w:pPr>
        <w:pStyle w:val="Heading2"/>
      </w:pPr>
      <w:r>
        <w:t>Erwägungen</w:t>
      </w:r>
    </w:p>
    <w:p>
      <w:r>
        <w:rPr>
          <w:b/>
        </w:rPr>
        <w:t>E. 1.1</w:t>
      </w:r>
    </w:p>
    <w:p>
      <w:r>
        <w:t>Le justiciable doit indiquer ses motifs de recours, en ce sens qu'il doit exposer succinctement en quoi l'arrêt attaqué viole le droit ( art. 42 al. 1 et 2 LTF ).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w:t>
      </w:r>
    </w:p>
    <w:p>
      <w:r>
        <w:rPr>
          <w:b/>
        </w:rPr>
        <w:t>E. 1.2</w:t>
      </w:r>
    </w:p>
    <w:p>
      <w:r>
        <w:t>En l'occurrence, le dispositif de l'arrêt attaqué déclare l'appel irrecevable. Dans ses considérants toutefois, la Cour de justice a d'une part déclaré l'appel irrecevable au motif qu'il contenait uniquement des conclusions cassatoires, d'autre part rejeté l'appel en fournissant deux arguments: non seulement aucune violation des règles procédurales invoquées ne pouvait être retenue (consid. 2.4 de l'arrêt attaqué), mais de surcroît, l'on ne voyait pas en quoi la prétendue violation aurait influé sur l'issue du litige et justifié ainsi le renvoi de la cause aux premiers juges (consid. 2.3 de l'arrêt attaqué). Ce dernier pan de motivation doit être mis en lien avec la jurisprudence de l'autorité de céans citée au consid. 2.1.3 de l'arrêt attaqué, qui tend à relativiser la nature purement formelle du droit d'être entendu. Selon cette jurisprudence, le droit d'être entendu est certes une garantie constitutionnelle ( art. 29 al. 2 Cst. ) de caractère formel, dont la violation entraîne en principe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Le recourant qui se contente de dénoncer une violation de son droit d'être entendu sans contester le fond de la décision n'a pas d'intérêt à procéder, de sorte que son pourvoi est irrecevable (arrêts 2P.20/2005 du 13 avril 2005 consid. 3.2, in RF 2005 970; 4A_153/2009 du 1er mai 2009 consid. 4.1; 4A_554/2012 du 21 mars 2013 consid. 4.1.2).</w:t>
      </w:r>
    </w:p>
    <w:p>
      <w:r>
        <w:t>Il apparaît donc que la décision attaquée présente trois motivations qui, chacune, scelle le sort de la cause. Devant le Tribunal fédéral, les sous-locataires reprochent à la Cour de justice d'avoir violé les art. 311 et 318 CPC en déclarant leur appel irrecevable, respectivement d'avoir violé l' art. 135 let. b CPC et leur droit d'être entendus en renonçant à reporter l'audience. Ils justifient les conclusions purement cassatoires de leur appel par le fait que le vice procédural était trop grave pour être réparé par la Cour de justice et qu'ils ne sauraient être privés d'un degré d'instance cantonale. Ce faisant, ils critiquent seulement deux des trois argumentations développées par la Cour de justice, omettant de critiquer l'analyse selon laquelle une violation du droit d'être entendu ne saurait être sanctionnée pour elle-même, alors qu'il n'est pas démontré qu'elle aurait une incidence au fond. Pas plus que leur appel, leur recours ne contient de contestation sur la décision de fond.</w:t>
      </w:r>
    </w:p>
    <w:p>
      <w:r>
        <w:t>Au vu de ce qui précède, le recours doit être déclaré irrecevable.</w:t>
      </w:r>
    </w:p>
    <w:p>
      <w:r>
        <w:rPr>
          <w:b/>
        </w:rPr>
        <w:t>E. 2</w:t>
      </w:r>
    </w:p>
    <w:p>
      <w:r>
        <w:t>Dès lors que les recourants succombent, ils supporteront solidairement les frais de la présente procédure ( art. 66 al. 1 et 5 LTF ). Aucune indemnité n'est due aux intimés, qui n'ont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