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4A_139/2023 vom 21. März 2023</w:t>
      </w:r>
    </w:p>
    <w:p>
      <w:r>
        <w:t>Bundesgericht, 2023-03-21, FR</w:t>
      </w:r>
    </w:p>
    <w:p>
      <w:r>
        <w:rPr>
          <w:b/>
        </w:rPr>
        <w:t xml:space="preserve">Quelle: </w:t>
      </w:r>
      <w:r>
        <w:t>https://mcp.opencaselaw.ch/entscheid/bger_4A_139_2023</w:t>
      </w:r>
    </w:p>
    <w:p>
      <w:r>
        <w:t>FR: TF 4A_139/2023 du 21 mars 2023</w:t>
      </w:r>
    </w:p>
    <w:p>
      <w:r>
        <w:t>IT: TF 4A_139/2023 del 21 marzo 2023</w:t>
      </w:r>
    </w:p>
    <w:p>
      <w:pPr>
        <w:pStyle w:val="Heading2"/>
      </w:pPr>
      <w:r>
        <w:t>Erwägungen</w:t>
      </w:r>
    </w:p>
    <w:p>
      <w:r>
        <w:rPr>
          <w:b/>
        </w:rPr>
        <w:t>E. 1</w:t>
      </w:r>
    </w:p>
    <w:p>
      <w:r>
        <w:t>Par jugement du 1er juin 2021, le Tribunal des baux et loyers genevois a déclaré efficace et valable le congé notifié le 26 avril 2019 pour le 31 mai 2019, sur la base de l' art. 257d CO , par B.________ à A.________ et C.________ concernant l'appartement de trois pièces situé au cinquième étage d'un immeuble sis à U.________.</w:t>
      </w:r>
    </w:p>
    <w:p>
      <w:r>
        <w:rPr>
          <w:b/>
        </w:rPr>
        <w:t>E. 2</w:t>
      </w:r>
    </w:p>
    <w:p>
      <w:r>
        <w:t>Le 8 juillet 2021, A.________ a appelé de ce jugement auprès de la Chambre des baux et loyers de la Cour de justice du canton de Genève. Elle a produit diverses pièces nouvelles.</w:t>
      </w:r>
    </w:p>
    <w:p>
      <w:r>
        <w:t>Statuant par arrêt du 23 janvier 2023, la cour cantonale a rejeté l'appel et confirmé le jugement attaqué. En bref, elle a constaté que, lorsque l'appelante avait pris à bail l'appartement concerné en 1994, celui-ci était vétuste, ce que savait l'intéressée puisque le loyer avait été fixé en conséquence à 600 fr. par mois. Par jugement du 30 mai 2005, le Tribunal des baux et loyers genevois avait ordonné au bailleur d'exécuter dans les règles de l'art des travaux de suppression de la cause des infiltrations d'eau dans l'appartement concerné et de remise en état de la tabatière située en toiture, tout en accordant une réduction de loyer de 20 % dès le 1er mars 2004 jusqu'à l'exécution de ceux-ci. Sur la base des preuves à sa disposition, la cour cantonale a retenu que le défaut lié à la tabatière avait été supprimé en juillet 2008 et que la cause des infiltrations d'eau ayant partiellement justifié la baisse de loyer avait été éliminée dès août 2015. L'appelante n'était ainsi pas en droit de retenir 20 % du loyer pour ce motif après cette date. Par ailleurs, s'il avait manifesté, par actes concluants, son intention de renoncer à 20 % du loyer pour la période comprise entre août 2015 et octobre 2017, le bailleur avait indiqué à l'appelante qu'il entendait percevoir l'entier du loyer convenu dès le 1er novembre 2017. Le montant réclamé par le bailleur à l'appelante était dès lors justifié. La cour cantonale a en outre estimé que l'appelante n'était pas en droit de refuser de payer le montant des loyers en souffrance, dans le délai comminatoire qui lui avait été fixé à cet effet par le bailleur, en opposant en compensation une créance en lien avec l'aggravation d'anciens défauts et la présence de nouveaux vices. Si l'intéressée souhaitait faire valoir une créance en compensation, elle aurait dû consigner son loyer, ce qu'elle n'avait pas fait. Enfin, l'appelante avait échoué à démontrer que le congé litigieux avait été donné en représailles à sa réclamation de février 2017 relative à de nouveaux défauts.</w:t>
      </w:r>
    </w:p>
    <w:p>
      <w:r>
        <w:rPr>
          <w:b/>
        </w:rPr>
        <w:t>E. 3</w:t>
      </w:r>
    </w:p>
    <w:p>
      <w:r>
        <w:t>Le 2 mars 2023, A.________ (ci-après: la recourante) a formé un recours en matière civile, assorti d'une requête d'effet suspensif, à l'encontre de cet arrêt. Elle conclut, principalement, à la réforme de la décision querellée et reprend les mêmes conclusions qu'elle avait prises devant la cour cantonale. Subsidiairement, elle requiert le renvoi de la cause à l'autorité précédente pour nouvelle décision dans le sens des considérants. L'intéressée sollicite sa mise au bénéfice de l'assistance judiciaire pour la procédure fédérale.</w:t>
      </w:r>
    </w:p>
    <w:p>
      <w:r>
        <w:t>La demande d'effet suspensif a été rejetée par ordonnance du 8 mars 2023.</w:t>
      </w:r>
    </w:p>
    <w:p>
      <w:r>
        <w:t>Le Tribunal fédéral n'a pas requis le dépôt d'une réponse au recours.</w:t>
      </w:r>
    </w:p>
    <w:p>
      <w:r>
        <w:rPr>
          <w:b/>
        </w:rPr>
        <w:t>E. 4.1</w:t>
      </w:r>
    </w:p>
    <w:p>
      <w:r>
        <w:t>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rPr>
          <w:b/>
        </w:rPr>
        <w:t>E. 4.2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5.1</w:t>
      </w:r>
    </w:p>
    <w:p>
      <w:r>
        <w:t>A teneur de l' art. 42 al. 2 LTF , le recours adressé au Tribunal fédéral doit être motivé (al. 1) et les motifs doivent exposer succinctement en quoi la décision attaquée viole le droit (al. 2).</w:t>
      </w:r>
    </w:p>
    <w:p>
      <w:r>
        <w:t>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w:t>
      </w:r>
    </w:p>
    <w:p>
      <w:r>
        <w:rPr>
          <w:b/>
        </w:rPr>
        <w:t>E. 5.2</w:t>
      </w:r>
    </w:p>
    <w:p>
      <w:r>
        <w:t>Ces exigences ne sont manifestement pas satisfaites dans la présente contestation.</w:t>
      </w:r>
    </w:p>
    <w:p>
      <w:r>
        <w:t>La recourante se borne, en effet, dans une très large mesure, à opposer, sur un mode appellatoire, sa propre version des faits à celle retenue par la cour cantonale. A cet égard, elle lui reproche d'avoir procédé à diverses "constatations inexactes" sans nullement démontrer que les faits auraient été établis arbitrairement par les juges cantonaux. C'est également en pure perte que l'intéressée critique, sans invoquer le grief d'arbitraire, l'appréciation des preuves ayant conduit l'autorité précédente à rejeter la demande d'inspection locale de l'appartement concerné.</w:t>
      </w:r>
    </w:p>
    <w:p>
      <w:r>
        <w:t>La recourante s'en prend également en vain à plusieurs constatations opérées par le Tribunal des prud'hommes genevois. En effet, cette décision n'a pas été rendue par une autorité cantonale de dernière instance ( art. 75 al. 1 LTF ).</w:t>
      </w:r>
    </w:p>
    <w:p>
      <w:r>
        <w:t>L'intéressée dénonce encore pêle-mêle la violation de diverses normes. Sous le couvert de la prétendue méconnaissance de plusieurs règles de droit, elle ne fait cependant, en réalité, rien d'autre que de critiquer les faits constatés souverainement par la cour cantonale. Quoi qu'il en soit, eu égard à son caractère appellatoire manifeste, sa démonstration, qui ne satisfait manifestement pas à l'exigence de motivation posée à l' art. 42 al. 2 LTF , est impropre à infirmer l'opinion des juges précédents.</w:t>
      </w:r>
    </w:p>
    <w:p>
      <w:r>
        <w:t>Pour le surplus, les critiques émises par la recourante sous l'angle de l' art. 317 CPC relativement à la décision des juges précédents d'écarter certaines pièces produites au stade de l'appel sont insuffisamment motivées et, partant, irrecevables.</w:t>
      </w:r>
    </w:p>
    <w:p>
      <w:r>
        <w:t>Au vu de ce qui précède, il n'est pas possible d'entrer en matière, faute d'une motivation suffisante ( art. 42 al. 2 LTF ). Application sera donc faite de la procédure simplifiée, conformément à l' art. 108 al. 1 let. b LTF .</w:t>
      </w:r>
    </w:p>
    <w:p>
      <w:r>
        <w:rPr>
          <w:b/>
        </w:rPr>
        <w:t>E. 6</w:t>
      </w:r>
    </w:p>
    <w:p>
      <w:r>
        <w:t>Comme les conclusions du recours étaient vouées à l'échec, la requête d'assistance judiciaire présentée par la recourante ne peut qu'être rejetée ( art. 64 al. 1 LTF ). Celle-ci supportera dès lors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