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4A_139/2020 vom 7. Juli 2020</w:t>
      </w:r>
    </w:p>
    <w:p>
      <w:r>
        <w:t>Bundesgericht, 2020-07-07, FR</w:t>
      </w:r>
    </w:p>
    <w:p>
      <w:r>
        <w:rPr>
          <w:b/>
        </w:rPr>
        <w:t xml:space="preserve">Quelle: </w:t>
      </w:r>
      <w:r>
        <w:t>https://mcp.opencaselaw.ch/entscheid/bger_4A_139_2020</w:t>
      </w:r>
    </w:p>
    <w:p>
      <w:r>
        <w:t>FR: TF 4A_139/2020 du 7 juillet 2020</w:t>
      </w:r>
    </w:p>
    <w:p>
      <w:r>
        <w:t>IT: TF 4A_139/2020 del 7 luglio 2020</w:t>
      </w:r>
    </w:p>
    <w:p>
      <w:pPr>
        <w:pStyle w:val="Heading2"/>
      </w:pPr>
      <w:r>
        <w:t>Erwägungen</w:t>
      </w:r>
    </w:p>
    <w:p>
      <w:r>
        <w:rPr>
          <w:b/>
        </w:rPr>
        <w:t>E. 1</w:t>
      </w:r>
    </w:p>
    <w:p>
      <w:r>
        <w:t>Interjeté dans le délai fixé par la loi ( art. 100 al. 1 LTF )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 137II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Lorsque la partie recourante conteste l'état de fait retenu par l'autorité précédente ( art. 97 al. 1 LTF ), il lui incombe de démontrer, dans l'acte de recours lui-même, de manière circonstanciée et précise, preuves à l'appui, que la constatation cantonale est insoutenable ( ATF 133 II 249 consid. 1.4.3 p. 255).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t>Par exception à la règle selon laquelle il examine le droit d'office, le Tribunal fédéral ne se prononce sur la violation de droits fondamentaux que si le grief correspondant a été invoqué et motivé par le recourant conformément au principe de l'allégation; celui-ci doit donc indiquer quelle disposition ou principe constitutionnel a été violé et démontrer, par une argumentation précise, en quoi consiste la violation ( art. 106 al. 2 LTF ; ATF 139 I 229 consid. 2.2 p. 232; 134 II 244 consid. 2.2 p. 246; 134 I 83 consid. 3.2 p. 88; 133 IV 286 consid. 1.4 p. 287; 133 III 393 consid. 5 p. 396 s.; 133 II 249 consid. 1.4.2 p. 254). Les critiques de nature appellatoire sont irrecevables ( ATF 140 III 264 consid. 2.3 p. 266; 139 II 404 consid. 10.1 p. 445 et les arrêts cités).</w:t>
      </w:r>
    </w:p>
    <w:p>
      <w:r>
        <w:rPr>
          <w:b/>
        </w:rPr>
        <w:t>E. 2.3</w:t>
      </w:r>
    </w:p>
    <w:p>
      <w:r>
        <w:t>Le grief doit être développé dans le recours même, un renvoi à d'autres écritures ou à des pièces n'étant pas admissible ( ATF 133 II 396 consid. 3.2 p. 400 et les références; arrêt 5A_756/2019 du 13 février 2020 consid. 2.1).</w:t>
      </w:r>
    </w:p>
    <w:p>
      <w:r>
        <w:rPr>
          <w:b/>
        </w:rPr>
        <w:t>E. 3</w:t>
      </w:r>
    </w:p>
    <w:p>
      <w:r>
        <w:t>Dans sa réponse au recours, l'intimée a indiqué avoir modifié sa raison sociale et sa forme juridique. Dans leur réplique, les recourants ont contesté la qualité de créancière de l'intimée, au seul motif que celle-ci n'avait pas produit une pièce attestant du fait que la créance litigieuse lui avait été transmise.</w:t>
      </w:r>
    </w:p>
    <w:p>
      <w:r>
        <w:rPr>
          <w:b/>
        </w:rPr>
        <w:t>E. 3.1.1</w:t>
      </w:r>
    </w:p>
    <w:p>
      <w:r>
        <w:t>Selon l' art. 17 al. 3 PCF , applicable par renvoi de l' art. 71 LTF , le changement des personnes n'entraîne pas substitution de parties - lequel présuppose le consentement de la partie adverse ( art. 17 al. 1 PCF ) - lorsqu'il s'opère notamment en vertu de dispositions légales spéciales. Sont de telles dispositions spéciales les règles sur la fusion, la scission et la transformation de sociétés contenues dans la Loi fédérale sur la fusion, la scission, la transformation et le transfert de patrimoine (RS 221.301; LFus; cf. arrêt 4C.385/2005 du 31 janvier 2006 consid. 1.2.2).</w:t>
      </w:r>
    </w:p>
    <w:p>
      <w:r>
        <w:rPr>
          <w:b/>
        </w:rPr>
        <w:t>E. 3.1.2</w:t>
      </w:r>
    </w:p>
    <w:p>
      <w:r>
        <w:t>Une société en nom collectif peut se transformer en une société de capitaux ( art. 54 al. 2 let. a LFus ), notamment en une société anonyme (cf. art. 2 let . c LFus).</w:t>
      </w:r>
    </w:p>
    <w:p>
      <w:r>
        <w:t>Dans la mesure où, d'après la jurisprudence et la doctrine dominante, une société en nom collectif ne dispose pas de la pleine jouissance des droits civils, la transformation d'une société en nom collectif en une personne morale conduit à la création d'un nouveau sujet de droit ( ATF 116 II 651 consid. 2 p. 652; Alexander VOGEL et al., in : A. Vogel et al. (édit.), FusG Kommentar, 3e éd., 2017, n</w:t>
      </w:r>
    </w:p>
    <w:p>
      <w:r>
        <w:t>o 12 ad art. 53 LFus ). Le patrimoine social de la société en nom collectif est transféré par voie de succession universelle à la personne morale nouvellement créée (Flavio ROMERIO, Basler Kommentar Fusionsgesetz, 2e éd., 2015, n</w:t>
      </w:r>
    </w:p>
    <w:p>
      <w:r>
        <w:t>o 15 ad art. 53 LFus ; Alexander VOGEL et al.,</w:t>
      </w:r>
    </w:p>
    <w:p>
      <w:r>
        <w:t>ibid. ).</w:t>
      </w:r>
    </w:p>
    <w:p>
      <w:r>
        <w:t>Si une société change ainsi de forme juridique, ses rapports juridiques ne s'en trouvent pas modifiés ( art. 53 LFus ).</w:t>
      </w:r>
    </w:p>
    <w:p>
      <w:r>
        <w:rPr>
          <w:b/>
        </w:rPr>
        <w:t>E. 3.2</w:t>
      </w:r>
    </w:p>
    <w:p>
      <w:r>
        <w:t>En l'espèce, la société en nom collectif B1.________ SNC a changé de forme juridique et a été transformée en la société anonyme B.________ SA.</w:t>
      </w:r>
    </w:p>
    <w:p>
      <w:r>
        <w:t>Ont été transférés par voie de succession universelle à B.________ SA tous les rapports juridiques de la société en nom collectif. Ceci comprend la créance litigieuse envers les défendeurs.</w:t>
      </w:r>
    </w:p>
    <w:p>
      <w:r>
        <w:t>Les défendeurs se prévalent à tort de l'arrêt 4A_130/2015 du 2 septembre 2015 consid. 3.1 pour invoquer une incombance de la demanderesse de " déposer les comptes accompagnant le contrat de trans fert de patrimoine à la nouvelle société ". En effet, ce considérant vise un transfert de patrimoine, soumis aux art. 69 ss LFus et non une transformation de société au sens des art. 53 ss LFus . Il n'est dès lors pas pertinent en l'espèce.</w:t>
      </w:r>
    </w:p>
    <w:p>
      <w:r>
        <w:t>Il s'ensuit que le rubrum du présent arrêt doit être modifié pour tenir compte de cette transformation. Faute de grief des recourants, il n'y a pas lieu de s'appesantir sur le fait que l'inscription au registre du commerce a eu lieu trois jours avant le prononcé de l'arrêt cantonal, ce d'autant que la cour d'appel a déclaré garder la cause à juger le 19 juin 2019 (cf. ATF 143 III 272 consid. 2.3 p. 276 s.).</w:t>
      </w:r>
    </w:p>
    <w:p>
      <w:r>
        <w:t>La critique des recourants est infondée.</w:t>
      </w:r>
    </w:p>
    <w:p>
      <w:r>
        <w:rPr>
          <w:b/>
        </w:rPr>
        <w:t>E. 4</w:t>
      </w:r>
    </w:p>
    <w:p>
      <w:r>
        <w:t>Les défendeurs et recourants font également valoir la violation de l' art. 29 al. 2 Cst. , en tant que l'autorité précédente aurait commis un déni de justice en écartant l'expertise judiciaire effectuée par C.________ et violé leur droit à une décision motivée.</w:t>
      </w:r>
    </w:p>
    <w:p>
      <w:r>
        <w:rPr>
          <w:b/>
        </w:rPr>
        <w:t>E. 4.1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 145). Pour satisfaire à cette exigence, il lui suffit d'exposer, au moins brièvement, les motifs qui l'ont guidée et sur lesquels elle a fondé son raisonnement ( ATF 142 II 154 consid. 4.2 p. 157).</w:t>
      </w:r>
    </w:p>
    <w:p>
      <w:r>
        <w:rPr>
          <w:b/>
        </w:rPr>
        <w:t>E. 4.2</w:t>
      </w:r>
    </w:p>
    <w:p>
      <w:r>
        <w:t>En l'espèce, se référant au considérant 5.2 p. 9 de l'arrêt attaqué, les défendeurs se bornent à invoquer dans leur recours que " l'on peine à comprendre le raisonnement " de l'autorité précédente et que " cette décision est incompréhensible ", pour en conclure que leur droit à une décision motivée a été violé.</w:t>
      </w:r>
    </w:p>
    <w:p>
      <w:r>
        <w:t>Dans leur réplique, les défendeurs précisent leur grief et font référence à leurs écritures d'appel devant l'autorité précédente, dans lesquelles ils contestaient la prise en compte de certaines factures dans le cadre du prix forfaitaire.</w:t>
      </w:r>
    </w:p>
    <w:p>
      <w:r>
        <w:t>Conformément aux exigences strictes posées par l' art. 106 al. 2 LTF , il incombait pourtant aux défendeurs, dûment représentés par un avocat, d'exposer de manière circonstanciée leur grief, un simple renvoi à leurs précédentes écritures n'étant pas suffisant.</w:t>
      </w:r>
    </w:p>
    <w:p>
      <w:r>
        <w:t>Les défendeurs ne peuvent profiter de leur réplique ni pour compléter les lacunes de leur recours ni pour faire valoir de nouveaux griefs.</w:t>
      </w:r>
    </w:p>
    <w:p>
      <w:r>
        <w:t>Par ailleurs, et contrairement à ce que font valoir les défendeurs, après avoir douté de la recevabilité de leur grief, l'autorité précédente a indiqué, précisément dans le passage qu'ils ont cité, qu'ils n'avaient pas démontré que le premier juge aurait retenu à tort des commandes supplémentaires justifiant une rémunération plus importante de l'entrepreneur.</w:t>
      </w:r>
    </w:p>
    <w:p>
      <w:r>
        <w:t>Le grief est irrecevable.</w:t>
      </w:r>
    </w:p>
    <w:p>
      <w:r>
        <w:rPr>
          <w:b/>
        </w:rPr>
        <w:t>E. 5</w:t>
      </w:r>
    </w:p>
    <w:p>
      <w:r>
        <w:t>Les défendeurs invoquent ensuite la violation de l' art. 9 Cst. par l'autorité précédente, dans la mesure où celle-ci a, selon eux, arbitrairement refusé de prendre en compte l'expertise judiciaire.</w:t>
      </w:r>
    </w:p>
    <w:p>
      <w:r>
        <w:rPr>
          <w:b/>
        </w:rPr>
        <w:t>E. 5.1</w:t>
      </w:r>
    </w:p>
    <w:p>
      <w:r>
        <w:t>Une décision est arbitraire, et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5.2</w:t>
      </w:r>
    </w:p>
    <w:p>
      <w:r>
        <w:t>En l'espèce, l'argumentation des défendeurs, qui tient en trois lignes, consiste à faire valoir qu'ils s'étaient basés sur l'expertise judiciaire pour démontrer que la demanderesse avait pris en compte des postes qui n'étaient pas en relation avec la construction de leur chalet.</w:t>
      </w:r>
    </w:p>
    <w:p>
      <w:r>
        <w:t>Ce faisant, les défendeurs ne démontrent pas en quoi la cour cantonale serait tombée dans l'arbitraire en retenant que des modifications de commandes justifient une rémunération supplémentaire.</w:t>
      </w:r>
    </w:p>
    <w:p>
      <w:r>
        <w:t>Le grief est irrecevable.</w:t>
      </w:r>
    </w:p>
    <w:p>
      <w:r>
        <w:rPr>
          <w:b/>
        </w:rPr>
        <w:t>E. 6</w:t>
      </w:r>
    </w:p>
    <w:p>
      <w:r>
        <w:t>Les défendeurs invoquent aussi la " violation [...] de l'art. 84 al. 4 SIA 118 et l'arbitraire dans l'appréciation des preuves et l'établissement des faits ainsi que la violation de leurs droits à une décision motivée ".</w:t>
      </w:r>
    </w:p>
    <w:p>
      <w:r>
        <w:t>En substance, ils font valoir qu'ils n'ont pas signé les modifications de commande et que, en vertu de l'art. 84 al. 4 SIA 118, la demande resse est " déchu [e] du droit de réclamer des montants supplémen taires ". Ils invoquent l' ATF 143 III 545 consid. 4.4.4.3.</w:t>
      </w:r>
    </w:p>
    <w:p>
      <w:r>
        <w:rPr>
          <w:b/>
        </w:rPr>
        <w:t>E. 6.1</w:t>
      </w:r>
    </w:p>
    <w:p>
      <w:r>
        <w:t>Lorsque la loi ne subordonne pas la conclusion du contrat à l'observation d'une forme particulière ( art. 11 al. 1 CO ), une telle exigence peut résulter de la convention des parties (cf. art. 16 al. 1 CO ).</w:t>
      </w:r>
    </w:p>
    <w:p>
      <w:r>
        <w:t>Aux termes de l'art. 84 de la norme SIA 118, les ordres du maître de l'ouvrage tendant à modifier ledit ouvrage ne sont soumis à aucune forme : Ils peuvent être effectués par écrit, oralement ou tacitement (Hans Rudolf SPIESS/ Marie-Theres HUSER, in: H. R. Spiess/M.-T. Huser (édit.), Norm SIA 118, n</w:t>
      </w:r>
    </w:p>
    <w:p>
      <w:r>
        <w:t>o 14 ad art. 84 SIA 118).</w:t>
      </w:r>
    </w:p>
    <w:p>
      <w:r>
        <w:rPr>
          <w:b/>
        </w:rPr>
        <w:t>E. 6.2.1</w:t>
      </w:r>
    </w:p>
    <w:p>
      <w:r>
        <w:t>En l'espèce, les défendeurs ne contestent pas les constatations de fait de l'autorité précédente, qui a considéré qu'ils avaient " accepté les modifications ainsi que le coût qui en était résulté ". Celle-ci a en particulier retenu que les défendeurs avaient " accepté le prix proposé dans la troisième version de l'avenant, le qualifiant de " globalement correct " dans un premier temps, avant de demeurer silencieux durant de longs mois - ce qui a été considéré, en l'espèce, comme une acceptation tacite ".</w:t>
      </w:r>
    </w:p>
    <w:p>
      <w:r>
        <w:t>En l'absence de tout grief de la part des défendeurs quant à ces constatations, on ne saurait s'en écarter.</w:t>
      </w:r>
    </w:p>
    <w:p>
      <w:r>
        <w:rPr>
          <w:b/>
        </w:rPr>
        <w:t>E. 6.2.2</w:t>
      </w:r>
    </w:p>
    <w:p>
      <w:r>
        <w:t>Reste litigieuse la question de savoir si l'acceptation du prix par les défendeurs était soumise à une exigence de forme.</w:t>
      </w:r>
    </w:p>
    <w:p>
      <w:r>
        <w:t>En l'espèce, les défendeurs n'allèguent pas que les parties auraient réservé une forme conventionnelle aux modifications apportées au contrat de construction. Une telle exigence de forme ne ressort pas non plus des art. 84 et 89 de la norme SIA 118, intégrée aux rapports contractuels entre les parties.</w:t>
      </w:r>
    </w:p>
    <w:p>
      <w:r>
        <w:t>C'est par ailleurs à tort que les défendeurs se réfèrent sur ce point à l' ATF 143 III 545 . Cet arrêt vise en effet la situation dans laquelle les parties ne se sont pas entendues sur le prix complémentaire en cas de modification de commande (cf. art. 89 al. 1 de la norme SIA 118; Pascal PICHONNAZ /Annick FOURNIER, La modification de commande dans les contrats de services : les incidences sur le prix, in : P. Pichonnaz/F. Werro (édit.), La pratique contractuelle 6, 2018, p. 29 ss, p. 36, cf. ég. pp. 40-42). Or, les défendeurs ont ici accepté le prix complémentaire indiqué par l'entrepreneur dans l'avenant (cf.</w:t>
      </w:r>
    </w:p>
    <w:p>
      <w:r>
        <w:t>supra consid. 6.2.1).</w:t>
      </w:r>
    </w:p>
    <w:p>
      <w:r>
        <w:t>Le grief est infondé.</w:t>
      </w:r>
    </w:p>
    <w:p>
      <w:r>
        <w:rPr>
          <w:b/>
        </w:rPr>
        <w:t>E. 7</w:t>
      </w:r>
    </w:p>
    <w:p>
      <w:r>
        <w:t>Il résulte des considérations qui précèdent que le recours en matière civile doit être rejeté dans la mesure où il est recevable.</w:t>
      </w:r>
    </w:p>
    <w:p>
      <w:r>
        <w:t>Les frais judiciaires et les dépens sont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