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4A_139/2019 vom 8. April 2019</w:t>
      </w:r>
    </w:p>
    <w:p>
      <w:r>
        <w:t>Bundesgericht, 2019-04-08, FR</w:t>
      </w:r>
    </w:p>
    <w:p>
      <w:r>
        <w:rPr>
          <w:b/>
        </w:rPr>
        <w:t xml:space="preserve">Quelle: </w:t>
      </w:r>
      <w:r>
        <w:t>https://mcp.opencaselaw.ch/entscheid/bger_4A_139_2019</w:t>
      </w:r>
    </w:p>
    <w:p>
      <w:r>
        <w:t>FR: TF 4A_139/2019 du 8 avril 2019</w:t>
      </w:r>
    </w:p>
    <w:p>
      <w:r>
        <w:t>IT: TF 4A_139/2019 del 8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16 août 2011, X.________ a subi une intervention chirurgicale dans une unité hospitalière exploitée par l'établissement de droit public cantonal Hôpital fribourgeois HFR.</w:t>
      </w:r>
    </w:p>
    <w:p>
      <w:r>
        <w:t>Le 18 septembre 2015, elle a ouvert action contre Hôpital fribourgeois HFR devant la Ire Cour administrative du Tribunal cantonal; le défendeur devait être condamné à payer 599'209 fr.25 à titre de dommages-intérêts et de réparation morale, avec intérêts, par suite d'une information prétendument déficiente concernant les risques de l'intervention chirurgicale et de son exécution prétendument incorrecte.</w:t>
      </w:r>
    </w:p>
    <w:p>
      <w:r>
        <w:t>La Cour administrative s'est prononcée le 30 août 2018; elle a rejeté l'action.</w:t>
      </w:r>
    </w:p>
    <w:p>
      <w:r>
        <w:t>La Ire Cour d'appel civil du Tribunal cantonal a statué le 15 février 2019 sur le recours de la demanderesse. Elle a accueilli ce recours, constaté un acte illicite imputable à l'établissement défendeur, et renvoyé la cause à la Ire Cour administrative pour nouveau prononcé.</w:t>
      </w:r>
    </w:p>
    <w:p>
      <w:r>
        <w:rPr>
          <w:b/>
        </w:rPr>
        <w:t>E. 2</w:t>
      </w:r>
    </w:p>
    <w:p>
      <w:r>
        <w:t>Agissant par la voie du recours en matière civile, le défendeur requiert le Tribunal fédéral de confirmer le prononcé intervenu le 30 août 2018.</w:t>
      </w:r>
    </w:p>
    <w:p>
      <w:r>
        <w:rPr>
          <w:b/>
        </w:rPr>
        <w:t>E. 3</w:t>
      </w:r>
    </w:p>
    <w:p>
      <w:r>
        <w:t>Contrairement à ce qu'affirme le défendeur, son recours n'est pas dirigé contre une décision finale susceptible de recours selon l' art. 90 LTF , mais contre une décision incidente qui ne peut être attaquée, en règle générale et selon l' art. 93 al. 3 LTF , qu'avec la décision finale qu'elle précède. Le prononcé par lequel une autorité cantonale supérieure renvoie une affaire à une autorité inférieure ayant statué en première instance, pour nouvelle décision, est en effet une décision incidente ( ATF 134 II 124 consid. 1.3 p. 127; voir aussi ATF 142 II 20 consid. 1.2 p. 24). Un recours séparé n'est recevable que dans les hypothèses limitativement prévues par l' art. 93 al. 1 let. a ou b LTF .</w:t>
      </w:r>
    </w:p>
    <w:p>
      <w:r>
        <w:t>Il n'apparaît pas, et le défendeur ne prétend pas que l'une ou l'autre de ces hypothèses soit réalisée; le recours en matière civile est par conséquent irrecevable.</w:t>
      </w:r>
    </w:p>
    <w:p>
      <w:r>
        <w:rPr>
          <w:b/>
        </w:rPr>
        <w:t>E. 4</w:t>
      </w:r>
    </w:p>
    <w:p>
      <w:r>
        <w:t>Compte tenu que l'établissement défendeur succombe et que le présent arrêt s'inscrit dans une contestation où son intérêt patrimonial est en cause, le Tribunal fédéral doit prélever un émolument judiciaire.</w:t>
      </w:r>
    </w:p>
    <w:p>
      <w:r>
        <w:t>Par ces motifs, vu l' art. 108 al. 1 let. a LTF , le Tribunal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