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139/2015 vom 16. März 2015</w:t>
      </w:r>
    </w:p>
    <w:p>
      <w:r>
        <w:t>Bundesgericht, 2015-03-16, DE</w:t>
      </w:r>
    </w:p>
    <w:p>
      <w:r>
        <w:rPr>
          <w:b/>
        </w:rPr>
        <w:t xml:space="preserve">Quelle: </w:t>
      </w:r>
      <w:r>
        <w:t>https://mcp.opencaselaw.ch/entscheid/bger_4A_139_2015</w:t>
      </w:r>
    </w:p>
    <w:p>
      <w:r>
        <w:t>FR: TF 4A 139/2015 du 16 mars 2015</w:t>
      </w:r>
    </w:p>
    <w:p>
      <w:r>
        <w:t>IT: TF 4A 139/2015 del 16 marzo 2015</w:t>
      </w:r>
    </w:p>
    <w:p>
      <w:pPr>
        <w:pStyle w:val="Heading2"/>
      </w:pPr>
      <w:r>
        <w:t>Regeste</w:t>
      </w:r>
    </w:p>
    <w:p>
      <w:r>
        <w:t>Werkvertrag | Vertragsrecht</w:t>
      </w:r>
    </w:p>
    <w:p>
      <w:pPr>
        <w:pStyle w:val="Heading2"/>
      </w:pPr>
      <w:r>
        <w:t>Erwägungen</w:t>
      </w:r>
    </w:p>
    <w:p>
      <w:r>
        <w:rPr>
          <w:b/>
        </w:rPr>
        <w:t>E. 2</w:t>
      </w:r>
    </w:p>
    <w:p>
      <w:r>
        <w:t>Die Angelegenheit sei zur Neuverlegung der Gerichts- und Parteikosten vor erster und oberer kantonaler Instanz an die Vorinstanz zurück zu weisen." dass in der Beschwerdeschrift festgehalten wird, das Urteil des Obergerichts vom 19. Dezember 2014 sei dem Rechtsvertreter des Beschwerdeführers am 24. Dezember 2014 zugestellt worden; dass die Beschwerde innerhalb von dreissig Tagen nach der Eröffnung der vollständigen Ausfertigung des angefochtenen Entscheides beim Bundesgericht eingereicht werden muss ( Art. 100 Abs. 1 BGG ); dass im Fall der nachträglichen Berichtigung eines kantonalen Entscheides nach ständiger Praxis des Bundesgerichts zum OG, die nach dem Inkrafttreten des BGG für dieses weiter geführt wurde, eine neue Rechtsmittelfrist hinsichtlich jener Punkte zu laufen beginnt, die Gegenstand der Berichtigung bilden, und sich das Rechtsmittel nicht gegen jene Teile des ursprünglichen Urteils richten kann, welche von der Berichtigung nicht betroffen sind ( BGE 119 II 482 E. 3; Urteile 4A_54/2013 vom 18. Februar 2013, 4A_474/2012 vom 8. Februar 2013, 9C_597/2011 vom 3. Juli 2012, 2C_724 und 796/2010 vom 27. Juli 2011 E. 2.3); dass die entsprechende Rechtsmittelbelehrung im Urteil des Obergerichts vom 2. Februar 2015 also - entgegen der Kritik des Beschwerdeführers - richtig ist, wobei allerdings übersehen wurde, dass die Frage für das Rechtsmittel an das Bundesgericht nicht von der ZPO, sondern dem BGG geregelt wird; dass die Beschwerde somit verspätet eingereicht wurde, soweit sie sich gegen das Urteil des Obergerichts vom 19. Dezember 2014 in der nicht berichtigten Fassung richtet; dass im Übrigen in der Beschwerdeschrift die gemäss Art. 42 Abs. 2 BGG erforderliche Begründung fehlt, soweit sich die Beschwerde gegen jenen Teil des Urteils des Obergerichts vom 19. Dezember 2014 richtet, der mit dem Urteil vom 2. Februar 2015 berichtigt wurde; dass aus diesen Gründen auf die Beschwerde im Verfahren nach Art. 108 Abs. 1 lit. a und b BGG nicht einzutreten ist; dass die Gerichtskosten dem Beschwerdeführer aufzuerlegen sind ( Art. 66 Abs. 1 BGG ); erkennt die Präsidentin: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