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4A_138/2020 vom 26. März 2020</w:t>
      </w:r>
    </w:p>
    <w:p>
      <w:r>
        <w:t>Bundesgericht, 2020-03-26, DE</w:t>
      </w:r>
    </w:p>
    <w:p>
      <w:r>
        <w:rPr>
          <w:b/>
        </w:rPr>
        <w:t xml:space="preserve">Quelle: </w:t>
      </w:r>
      <w:r>
        <w:t>https://mcp.opencaselaw.ch/entscheid/bger_4A_138_2020</w:t>
      </w:r>
    </w:p>
    <w:p>
      <w:r>
        <w:t>FR: TF 4A_138/2020 du 26 mars 2020</w:t>
      </w:r>
    </w:p>
    <w:p>
      <w:r>
        <w:t>IT: TF 4A_138/2020 del 26 marzo 2020</w:t>
      </w:r>
    </w:p>
    <w:p>
      <w:pPr>
        <w:pStyle w:val="Heading2"/>
      </w:pPr>
      <w:r>
        <w:t>Volltext</w:t>
      </w:r>
    </w:p>
    <w:p>
      <w:r>
        <w:t>Bundesgericht</w:t>
      </w:r>
    </w:p>
    <w:p>
      <w:r>
        <w:t>Tribunal fédéral</w:t>
      </w:r>
    </w:p>
    <w:p>
      <w:r>
        <w:t>Tribunale federale</w:t>
      </w:r>
    </w:p>
    <w:p>
      <w:r>
        <w:t>Tribunal federal</w:t>
      </w:r>
    </w:p>
    <w:p>
      <w:r>
        <w:t>4A_138/2020</w:t>
      </w:r>
    </w:p>
    <w:p>
      <w:r>
        <w:t>Urteil vom 26. März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vertreten durch Fürsprecher Dr. Guido Fischer,</w:t>
      </w:r>
    </w:p>
    <w:p>
      <w:r>
        <w:t>Beschwerdegegnerin.</w:t>
      </w:r>
    </w:p>
    <w:p>
      <w:r>
        <w:t>Gegenstand</w:t>
      </w:r>
    </w:p>
    <w:p>
      <w:r>
        <w:t>Mieterausweisung,</w:t>
      </w:r>
    </w:p>
    <w:p>
      <w:r>
        <w:t>Beschwerde gegen den Entscheid des Obergerichts des Kantons Aargau, Zivilgericht, 4. Kammer, vom 10. Februar 2020 (ZSU.2020.5 (SZ.2019.71), Art. 14).</w:t>
      </w:r>
    </w:p>
    <w:p>
      <w:r>
        <w:t>In Erwägung,</w:t>
      </w:r>
    </w:p>
    <w:p>
      <w:r>
        <w:t>dass die Präsidentin des Bezirksgerichts Brugg mit Entscheid vom 17. Dezember 2019 auf Ersuchen der Beschwerdegegnerin im Verfahren des Rechtsschutzes in klaren Fällen feststellte, dass das Mietverhältnis zwischen den Parteien (dem Beschwerdeführer und einer Mitbeteiligten) über das Mietobjekt an der Strasse U.________ in V.________ (Rest. W.________: ganzes UG mit Kühl- und Lagerraum, Restaurant, Säli, Küche, 3-Zimmer-Wohnung im OG, drei separate Zimmer im OG, Gartenwirtschaft etc. gemäss Mietvertrag vom 2. Dezember 2016) aufgelöst sei und den Beschwerdeführer sowie die Mitbeteiligte unter Androhung der polizeilichen Vollstreckung im Widerhandlungsfall verpflichtete, das Mietobjekt innert 10 Tagen seit Zustellung des Entscheids zu verlassen, zu räumen und sämtliche Schlüssel zurückzugeben;</w:t>
      </w:r>
    </w:p>
    <w:p>
      <w:r>
        <w:t>dass das Obergericht des Kantons Aargau eine vom Beschwerdeführer dagegen erhobene Berufung mit Entscheid vom 10. Februar 2020 abwies und den Beschwerdeführer sowie die Mitbeteiligte unter Androhung der polizeilichen Vollstreckung im Widerhandlungsfall verpflichtete, das Mietobjekt innert 10 Tagen seit Zustellung des Obergerichtsentscheids zu verlassen, zu räumen und sämtliche Schlüssel zurückzugeben;</w:t>
      </w:r>
    </w:p>
    <w:p>
      <w:r>
        <w:t>dass der Beschwerdeführer gegen diesen Entscheid mit Eingabe vom 10. März 2020 beim Bundesgericht Beschwerde erhob;</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Vorinstanz unter Berücksichtigung der Vorbringen des Beschwerdeführers in seiner Berufung zum Schluss kam, die Erstinstanz habe die wegen Zahlungsverzugs ausgesprochene Kündigung des Mietverhältnisses mit zutreffender Begründung als gültig erachtet und zu Recht die Mieterausweisung verfügt;</w:t>
      </w:r>
    </w:p>
    <w:p>
      <w:r>
        <w:t>dass der Beschwerdeführer offensichtlich keine hinreichend begründeten Rügen gegen den angefochtenen Entscheid erhebt, in denen er unter Auseinandersetzung mit den Erwägungen der Vorinstanz rechtsgenügend darlegen würden, welche Rechte die Vorinstanz inwiefern verletzt haben soll, indem sie seine Berufung abwies;</w:t>
      </w:r>
    </w:p>
    <w:p>
      <w:r>
        <w:t>dass somit auf die Beschwerde nicht einzutreten ist, weil sie den genannten Begründungsanforderungen offensichtlich nicht genügt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dem Obergericht des Kantons Aargau, Zivilgericht, 4. Kammer, und C.________, schriftlich mitgeteilt.</w:t>
      </w:r>
    </w:p>
    <w:p>
      <w:r>
        <w:t>Lausanne, 26. März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