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137/2016 vom 11. April 2016</w:t>
      </w:r>
    </w:p>
    <w:p>
      <w:r>
        <w:t>Bundesgericht, 2016-04-11, FR</w:t>
      </w:r>
    </w:p>
    <w:p>
      <w:r>
        <w:rPr>
          <w:b/>
        </w:rPr>
        <w:t xml:space="preserve">Quelle: </w:t>
      </w:r>
      <w:r>
        <w:t>https://mcp.opencaselaw.ch/entscheid/bger_4A_137_2016</w:t>
      </w:r>
    </w:p>
    <w:p>
      <w:r>
        <w:t>FR: TF 4A 137/2016 du 11 avril 2016</w:t>
      </w:r>
    </w:p>
    <w:p>
      <w:r>
        <w:t>IT: TF 4A 137/2016 del 11 aprile 2016</w:t>
      </w:r>
    </w:p>
    <w:p>
      <w:pPr>
        <w:pStyle w:val="Heading2"/>
      </w:pPr>
      <w:r>
        <w:t>Regeste</w:t>
      </w:r>
    </w:p>
    <w:p>
      <w:r>
        <w:t>assistance judiciaire | Droit des obligations (en général)</w:t>
      </w:r>
    </w:p>
    <w:p>
      <w:pPr>
        <w:pStyle w:val="Heading2"/>
      </w:pPr>
      <w:r>
        <w:t>Erwägungen</w:t>
      </w:r>
    </w:p>
    <w:p>
      <w:r>
        <w:rPr>
          <w:b/>
        </w:rPr>
        <w:t>E. 1</w:t>
      </w:r>
    </w:p>
    <w:p>
      <w:r>
        <w:t>N'entre pas en matière sur le recours.</w:t>
      </w:r>
    </w:p>
    <w:p>
      <w:r>
        <w:rPr>
          <w:b/>
        </w:rPr>
        <w:t>E. 2</w:t>
      </w:r>
    </w:p>
    <w:p>
      <w:r>
        <w:t>Dit qu'il n'est pas perçu de frais.</w:t>
      </w:r>
    </w:p>
    <w:p>
      <w:r>
        <w:rPr>
          <w:b/>
        </w:rPr>
        <w:t>E. 3</w:t>
      </w:r>
    </w:p>
    <w:p>
      <w:r>
        <w:t>Communique le présent arrêt aux parties et à la Chambre des recours civile du Tribunal cantonal du canton de Vaud. Lausanne, le 11 avril 2016 Au nom de la Ire Cour de droit civil du Tribunal fédéral suisse La Présidente: Kiss 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