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137/2014 vom 10. Juni 2014</w:t>
      </w:r>
    </w:p>
    <w:p>
      <w:r>
        <w:t>Bundesgericht, 2014-06-10, FR</w:t>
      </w:r>
    </w:p>
    <w:p>
      <w:r>
        <w:rPr>
          <w:b/>
        </w:rPr>
        <w:t xml:space="preserve">Quelle: </w:t>
      </w:r>
      <w:r>
        <w:t>https://mcp.opencaselaw.ch/entscheid/bger_4A_137_2014</w:t>
      </w:r>
    </w:p>
    <w:p>
      <w:r>
        <w:t>FR: TF 4A 137/2014 du 10 juin 2014</w:t>
      </w:r>
    </w:p>
    <w:p>
      <w:r>
        <w:t>IT: TF 4A 137/2014 del 10 giugno 2014</w:t>
      </w:r>
    </w:p>
    <w:p>
      <w:pPr>
        <w:pStyle w:val="Heading2"/>
      </w:pPr>
      <w:r>
        <w:t>Regeste</w:t>
      </w:r>
    </w:p>
    <w:p>
      <w:r>
        <w:t>contrat de travail; licenciement immédiat | Droit des contrats</w:t>
      </w:r>
    </w:p>
    <w:p>
      <w:pPr>
        <w:pStyle w:val="Heading2"/>
      </w:pPr>
      <w:r>
        <w:t>Erwägungen</w:t>
      </w:r>
    </w:p>
    <w:p>
      <w:r>
        <w:rPr>
          <w:b/>
        </w:rPr>
        <w:t>E. 1</w:t>
      </w:r>
    </w:p>
    <w:p>
      <w:r>
        <w:t>Les conditions de recevabilité du recours en matière civile sont satisfaites, notamment à raison de la valeur litigieuse.</w:t>
      </w:r>
    </w:p>
    <w:p>
      <w:r>
        <w:rPr>
          <w:b/>
        </w:rPr>
        <w:t>E. 2</w:t>
      </w:r>
    </w:p>
    <w:p>
      <w:r>
        <w:t>Il est constant que les parties se sont liées par un contrat de travail et que celui-ci était conclu pour une durée indéterminée. Ledit contrat était donc susceptible d'une résiliation ordinaire avec observation d'un délai de congé, selon l' art. 335c CO , ou d'une résiliation immédiate pour de justes motifs, selon les art. 337 et 337a CO . L' art. 337 al. 1 CO consacre le droit de résilier sans délai pour de justes motifs. D'après l' art. 337 al. 2 CO ,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 ATF 130 III 28 consid. 4.1 p. 31; 129 III 380 consid. 2.2 p. 382). Le juge apprécie librement, au regard des principes du droit et de l'équité déterminants selon l' art. 4 CC , si le congé abrupt répond à de justes motifs ( art. 337 al. 3 CO ). A cette fin, il prend en considération tous les éléments du cas particulier, notamment la position du travailleur, la nature et la durée des rapports contractuels, et la nature et l'importance des manquements ( ATF 130 III 28 consid. 4.1 p. 32; 127 III 351 consid. 4a p. 354). Le Tribunal fédéral ne contrôle qu'avec réserve une décision d'équité prise en dernière instance cantonale. Il intervient lorsque la décision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138 III 252 consid. 2.1 p. 254; 136 III 278 consid. 2.2.1 p. 279; 135 III 121 consid. 2 p. 123). En cas de résiliation immédiate et injustifiée du contrat, le travailleur peut réclamer ce qu'il aurait gagné si les rapports de travail avaient pris fin à l'expiration du délai de congé ( art. 337c al. 1 CO ); le juge peut en outre lui allouer une indemnité dont il fixe librement le montant, en tenant compte de toutes les circonstances mais sans excéder six mois de salaire ( art. 337c al. 3 CO ).</w:t>
      </w:r>
    </w:p>
    <w:p>
      <w:r>
        <w:rPr>
          <w:b/>
        </w:rPr>
        <w:t>E. 3</w:t>
      </w:r>
    </w:p>
    <w:p>
      <w:r>
        <w:t>La défenderesse a motivé la résiliation immédiate du contrat par les manquements que le demandeur a commis les 7, 10 et 11 octobre 2011, en dépit de l'avertissement qu'il avait reçu au mois de juillet précédent. La Cour d'appel retient que le plus récent de ces manquements, consistant dans l'abandon momentané du véhicule, est à lui seul un juste motif de résiliation immédiate au regard de l' art. 337 al. 2 CO ; cette appréciation est contestée par le demandeur. Celui-ci transportait près de vingt élèves âgés de quatorze à quinze ans. A l'arrêt de ..., il a quitté le véhicule et ses passagers, laissant le moteur en marche et les portes ouvertes, pour aller faire un achat personnel au magasin situé de l'autre côté de la rue. Son absence a duré entre cinq et dix minutes. U.________, alors âgé de quinze ans, était l'un des passagers. Entendu par le Tribunal de prud'hommes en qualité de témoin, il a rapporté sans équivoque que le moteur était en marche pendant l'absence du conducteur. Sur la base de ce témoignage direct et précis, la Cour d'appel peut sans arbitraire (cf. ATF 137 I 58 consid. 4.1.2 p. 62; 136 III 552 consid. 4.2 p. 560) tenir ce fait pour avéré, de sorte que le demandeur tente inutilement de le mettre en doute devant le Tribunal fédéral; celui-ci est au contraire lié par les constatations de l'autorité précédente ( art. 105 al. 1 LTF ). Pour le surplus, il est incontesté qu'un passager ou un tiers présent sur les lieux aurait aisément pu accéder à la place du conducteur et mettre le véhicule en mouvement. Chacun sait que des adolescents en groupe, livrés à eux-mêmes et confrontés à une situation insolite, peuvent être enclins à agir de manière dangereuse ou nuisible; en l'occurrence, alors même qu'il ne s'est heureusement pas réalisé, le risque d'un geste irréfléchi et dommageable était particulièrement aigu. Le demandeur a adopté un comportement contraire aux règles de la circulation routière, comme la Cour d'appel l'a relevé, et surtout très gravement imprudent dans les circonstances concrètes de l'événement. L'entreprise de la défenderesse se consacre au transport collectif des personnes; compte tenu de la responsabilité qu'elle assume envers ses passagers et le public en général, elle ne saurait raisonnablement tolérer de pareilles inconvenances de la part de ses conducteurs. Contrairement à l'opinion longuement développée à l'appui du recours en matière civile, la Cour d'appel n'a pas méconnu les limites de son pouvoir d'appréciation en jugeant, selon sa décision, que la défenderesse était fondée à résilier abruptement le contrat de travail. Il s'ensuit que le demandeur réclame à tort les prestations prévues par l' art. 337c al. 1 et 3 CO .</w:t>
      </w:r>
    </w:p>
    <w:p>
      <w:r>
        <w:rPr>
          <w:b/>
        </w:rPr>
        <w:t>E. 4</w:t>
      </w:r>
    </w:p>
    <w:p>
      <w:r>
        <w:t>Le Tribunal de prud'hommes a ordonné l'insertion du texte ci-après dans le certificat de travail : Monsieur X.________ a rempli ses tâches à notre entière satisfaction, grâce aux connaissances professionnelles qu'il a démontrées dans son activité. Il a en outre entretenu d'excellentes relations avec ses collègues. La Cour d'appel a modifié ce texte comme suit, d'après les conclusions que la défenderesse avait prises d'abord devant le tribunal, lors des plaidoiries finales, puis dans son mémoire d'appel: Monsieur X.________ a rempli ses tâches à notre satisfaction, grâce aux connaissances professionnelles qu'il a démontrées dans son activité. Il a en outre entretenu de bonnes relations avec ses collègues. Le demandeur critique le remplacement de « notre entière satisfaction » par « notre satisfaction ». Il fait valoir que selon une opinion doctrinale, cette expression-ci a usuellement pour but de qualifier une prestation de travail peu satisfaisante et en deçà des attentes de l'employeur, soit une prestation qui aurait pu et dû être supérieure (David Aubert, in Commentaire du contrat de travail, Jean-Philippe Dunand et Pascal Mahon, éd., 2013, n° 28 ad art. 330a CO ). Selon le même auteur et dans la même contribution, pourtant, l'employeur doit s'en tenir au sens premier des mots qu'il utilise dans le certificat de travail, sans chercher à y dissimuler un message qui puisse être compris différemment (ibid.,n° 10 ad art. 330a CO ); par conséquent, il n'y a pas lieu de chercher un hypothétique sens caché dans le libellé d'un certificat, ni, en l'espèce, d'attribuer un sens caché et dépréciatif aux mots « notre satisfaction ». L'employeur a en principe le choix de la formulation (arrêt 4A_117/2007 du 13 septembre 2007, consid. 7.1) et il lui est loisible d'adopter un style concis plutôt qu'emphatique. Littéralement, il n'existe pas de différence de signification notable entre « notre satisfaction » et « notre entière satisfaction », de sorte que la Cour d'appel n'a pas violé le droit applicable en s'en tenant au libellé que la défenderesse proposait. Le demandeur ne discute pas le remplacement, dans le texte du certificat, des « excellentes relations » par « de bonnes relations ». En tant que le recours en matière civile porte aussi sur ce point, d'après les conclusions présentées, celles-ci se révèlent dépourvues de motivation et donc irrecevables au regard de l' art. 42 al. 2 LTF .</w:t>
      </w:r>
    </w:p>
    <w:p>
      <w:r>
        <w:rPr>
          <w:b/>
        </w:rPr>
        <w:t>E. 5</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était dépourvue de chances de succès, ce qui entraîne le rejet de la demande d'assistance judiciaire. Il n'est pas nécessaire d'examiner si son auteur pourrait être tenu pour dépourvu des ressources nécessaires aux frais de l'instance fédérale alors même qu'il est propriétaire d'un bien immobilier.</w:t>
      </w:r>
    </w:p>
    <w:p>
      <w:r>
        <w:rPr>
          <w:b/>
        </w:rPr>
        <w:t>E. 6</w:t>
      </w:r>
    </w:p>
    <w:p>
      <w:r>
        <w:t>A titre de partie qui succombe, le demandeur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