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4A_137/2012 vom 16. Juli 2012</w:t>
      </w:r>
    </w:p>
    <w:p>
      <w:r>
        <w:t>Bundesgericht, 2012-07-16, FR</w:t>
      </w:r>
    </w:p>
    <w:p>
      <w:r>
        <w:rPr>
          <w:b/>
        </w:rPr>
        <w:t xml:space="preserve">Quelle: </w:t>
      </w:r>
      <w:r>
        <w:t>https://mcp.opencaselaw.ch/entscheid/bger_4A_137_2012</w:t>
      </w:r>
    </w:p>
    <w:p>
      <w:r>
        <w:t>FR: TF 4A_137/2012 du 16 juillet 2012</w:t>
      </w:r>
    </w:p>
    <w:p>
      <w:r>
        <w:t>IT: TF 4A_137/2012 del 16 luglio 2012</w:t>
      </w:r>
    </w:p>
    <w:p>
      <w:pPr>
        <w:pStyle w:val="Heading2"/>
      </w:pPr>
      <w:r>
        <w:t>Erwägungen</w:t>
      </w:r>
    </w:p>
    <w:p>
      <w:r>
        <w:rPr>
          <w:b/>
        </w:rPr>
        <w:t>E. 1</w:t>
      </w:r>
    </w:p>
    <w:p>
      <w:r>
        <w:t>Le Tribunal fédéral connaît des recours exercés contre les décisions rendues en matière civile, selon l' art. 72 al. 1 LTF , ou rendues dans des causes de droit public, selon l' art. 82 let. a LTF .</w:t>
      </w:r>
    </w:p>
    <w:p>
      <w:r>
        <w:t>Les prétentions litigieuses devant le Tribunal civil se rattachent à des rapports de travail que le demandeur a noués dès le 1er mars 2002 avec la commune de Payerne, pour exercer au service de cette collectivité une fonction de brigadier de police à caractère éminemment régalien. Ces rapports de travail étaient explicitement soumis au statut du personnel communal. Ce statut appartient au droit public; en conséquence, la cause ressortit elle aussi au droit public, alors même qu'elle est pendante devant un tribunal civil et instruite selon les règles de la procédure civile. Le recours adressé au Tribunal fédéral n'est pas correctement intitulé mais cela ne nuit pas à sa recevabilité ( ATF 134 III 379 consid. 1.2 p. 382).</w:t>
      </w:r>
    </w:p>
    <w:p>
      <w:r>
        <w:t>Déterminée d'après les conclusions prises devant le Tribunal civil ( art. 51 al. 1 let . c LTF), la valeur litigieuse excède le minimum de 15'000 fr. requis en matière de rapports de travail de droit public ( art. 85 al. 1 let. b LTF ).</w:t>
      </w:r>
    </w:p>
    <w:p>
      <w:r>
        <w:t>L'arrêt présentement attaqué est une décision incidente dans le procès qui se poursuit devant le Tribunal civil. Contre une pareille décision, le recours n'est en principe recevable que si la partie recourante se trouve menacée d'un préjudice irréparable ( art. 93 al. 1 let. a LTF ). Cette exigence doit être tenue pour satisfaite lorsque, comme en l'espèce, cette partie invoque l' art. 29 al. 1 Cst. , se plaint d'un retard dans l'avancement du procès et fait grief à l'autorité précédente d'avoir refusé l'intervention demandée pour mettre fin à ce retard (cf. ATF 138 III 190 consid. 6 p. 191, concernant le recours dirigé contre une ordonnance de suspension).</w:t>
      </w:r>
    </w:p>
    <w:p>
      <w:r>
        <w:rPr>
          <w:b/>
        </w:rPr>
        <w:t>E. 2</w:t>
      </w:r>
    </w:p>
    <w:p>
      <w:r>
        <w:t>Selon l' art. 29 al. 1 Cst. , toute personne a droit, dans une procédure judiciaire ou administrative, à ce que sa cause soit traitée équitablement et jugée dans un délai raisonnable. Le caractère raisonnable ou adéquat du délai de décision s'apprécie au regard de la nature de l'affaire et de l'ensemble des circonstances ( ATF 130 I 312 consid. 5.1 p. 331; 129 V 411 consid. 1.2 p. 416). Sur recours de la partie instante, lorsque l'autorité tarde sans justification à instruire ou à se prononcer, le Tribunal fédéral lui enjoint de le faire sans délai ( ATF 31 I 379 p. 384; voir aussi ATF 124 I 327 consid. 4b/bb p. 333). Ce tribunal n'a cependant pas pour mission de surveiller l'instruction en cours devant l'autorité saisie; il ne lui appartient donc pas de constater, le cas échéant, un dysfonctionnement autre qu'un retard actuel et persistant.</w:t>
      </w:r>
    </w:p>
    <w:p>
      <w:r>
        <w:t>La Chambre des recours civile juge inadmissible qu'un conflit du droit du travail ne soit pas tranché dans un laps de six ans; elle en donne acte au demandeur. Elle retient cependant que le retard considérable ainsi avéré n'est pas imputable à l'inaction des juges instructeurs; elle discute aussi l'attitude du demandeur, relève que celui-ci « n'a rien fait pour faciliter l'avancement du dossier » et conclut qu'il n'est pas autorisé à se plaindre d'un retard injustifié.</w:t>
      </w:r>
    </w:p>
    <w:p>
      <w:r>
        <w:rPr>
          <w:b/>
        </w:rPr>
        <w:t>E. 3</w:t>
      </w:r>
    </w:p>
    <w:p>
      <w:r>
        <w:t>Le demandeur se plaint précisément d'un retard dans la mise en oeuvre de l'expertise juridique admise par l'ordonnance sur preuves du 13 mars 2009; ses conclusions, tant devant l'autorité précédente que devant le Tribunal fédéral, tendent à la mise en oeuvre de cette expertise.</w:t>
      </w:r>
    </w:p>
    <w:p>
      <w:r>
        <w:t>L'expert alors désigné n'a pas accompli sa mission. La Chambre des recours civile discute et approuve les considérations qui ont pu, suppose-t-elle, retenir le Président du Tribunal civil de dessaisir cet expert plus rapidement. Quoi qu'il en soit, le retard éventuellement survenu avant le mois de mars 2011, moment où l'expert a restitué le dossier, n'est plus actuel.</w:t>
      </w:r>
    </w:p>
    <w:p>
      <w:r>
        <w:t>Dès ce même moment, la Présidente du Tribunal civil a fait savoir aux parties que l'expertise ordonnée le 13 mars 2009 lui paraissait inadéquate et qu'elle s'apprêtait à ordonner une mesure probatoire différente. Le demandeur s'est alors catégoriquement opposé à une modification de la mission d'expertise. L'affaire n'a ensuite plus progressé, notamment en raison de la difficulté de trouver un expert offrant les compétences médico-sociales désormais voulues par la Présidente.</w:t>
      </w:r>
    </w:p>
    <w:p>
      <w:r>
        <w:t>Le demandeur a articulé une offre de preuve et cette offre a été formellement admise par l'ordonnance de preuves du 13 mars 2009. Néanmoins, la Présidente du Tribunal civil actuellement en fonction entend ne pas mettre en oeuvre l'expertise concernée. Il incombe donc à la Présidente de révoquer cette ordonnance, en tant que le droit de procédure applicable le permet, cela de manière explicite et dans les formes requises, pour mettre fin à une situation procédurale équivoque et permettre au demandeur d'exercer, s'il s'y croit fondé, le recours éventuellement disponible. Le refus réitéré de donner suite à une ordonnance de preuves déjà intervenue, même motivé par l'intention d'ordonner une mesure probatoire différente, entraîne un retard dans l'instruction et ce retard est incompatible avec l' art. 29 al. 1 Cst.</w:t>
      </w:r>
    </w:p>
    <w:p>
      <w:r>
        <w:t>Au surplus, les intentions dont la Présidente a fait état ne permettent guère d'augurer la fin de l'instruction dans un délai raisonnable. La mise en oeuvre d'une expertise médico-sociale s'annonce d'ores et déjà laborieuse. La Présidente peine à trouver un expert et on voit mal que l'étude puisse s'accomplir sans le concours du demandeur, lequel a déjà fait connaître son refus.</w:t>
      </w:r>
    </w:p>
    <w:p>
      <w:r>
        <w:t>Il est enfin très douteux qu'une quelconque expertise soit réellement nécessaire dans la cause. Le mémoire introductif de l'action ne précise pas les bases juridiques sur lesquelles le demandeur prétend à des indemnités aux montants de 40'000 et 10'000 francs. En l'état, l' art. 49 al. 1 CO semble applicable à titre de droit public supplétif; il convient donc de se référer à la jurisprudence relative à cette disposition, selon laquelle une indemnité est éventuellement due au travailleur qui a été victime de harcèlement psychologique, si, d'un point de vue objectif, il a subi une humiliation particulièrement sévère ( ATF 125 III 70 consid. 3a p. 74/75; voir aussi ATF 130 III 699 consid. 5.1 p. 704). La preuve de faits à ce point graves, survenus au cours des quelques mois durant lesquels le demandeur a effectivement exercé sa fonction de brigadier de police, ne devrait pas être excessivement difficile. Au demeurant, une expertise doit être limitée à l'examen de points de fait car la résolution des questions de droit ressortit exclusivement au juge ( ATF 130 I 337 consid. 5.4.1 p. 345; 113 II 429 consid. 3a p. 432 in initio). Quatre témoignages ont déjà été recueillis au sujet du harcèlement allégué par le demandeur et ces dépositions ont été transcrites au procès-verbal. A supposer que le droit de procédure permette une révocation de l'ordonnance de preuves, il s'impose d'effectuer une appréciation rigoureuse de ces témoignages, anticipée, dans la perspective de renoncer à l'expertise et de réexaminer l'utilité des autres mesures probatoires aussi ordonnées le 13 mars 2009.</w:t>
      </w:r>
    </w:p>
    <w:p>
      <w:r>
        <w:rPr>
          <w:b/>
        </w:rPr>
        <w:t>E. 4</w:t>
      </w:r>
    </w:p>
    <w:p>
      <w:r>
        <w:t>Le demandeur est donc fondé à se plaindre d'un retard contraire à l' art. 29 al. 1 Cst. en tant que l'instruction de la cause ne progresse plus depuis le mois de mars 2011. Ses conclusions tendant à l'exécution de l'ordonnance sur preuves du 13 mars 2009 ne peuvent toutefois pas être accueillies car leur pertinence n'est pas établie au regard du principe de la célérité. Le recours ne sera donc que partiellement admis, la Présidente du Tribunal civil étant invitée à poursuivre l'instruction de la cause.</w:t>
      </w:r>
    </w:p>
    <w:p>
      <w:r>
        <w:t>Les frais et dépens du recours au Tribunal fédéral n'incombent pas aux parties défenderesses devant le Tribunal civil. Les dépens incombent au canton de Vaud à titre de collectivité dont dépendent les autorités précédentes.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