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4A_136/2026 vom 6. Mai 2026</w:t>
      </w:r>
    </w:p>
    <w:p>
      <w:r>
        <w:t>Bundesgericht, 2026-05-06, DE</w:t>
      </w:r>
    </w:p>
    <w:p>
      <w:r>
        <w:rPr>
          <w:b/>
        </w:rPr>
        <w:t xml:space="preserve">Quelle: </w:t>
      </w:r>
      <w:r>
        <w:t>https://mcp.opencaselaw.ch/entscheid/bger_4A_136_2026</w:t>
      </w:r>
    </w:p>
    <w:p>
      <w:r>
        <w:t>FR: TF 4A_136/2026 du 6 mai 2026</w:t>
      </w:r>
    </w:p>
    <w:p>
      <w:r>
        <w:t>IT: TF 4A_136/2026 del 6 maggio 2026</w:t>
      </w:r>
    </w:p>
    <w:p>
      <w:pPr>
        <w:pStyle w:val="Heading2"/>
      </w:pPr>
      <w:r>
        <w:t>Erwägungen</w:t>
      </w:r>
    </w:p>
    <w:p>
      <w:r>
        <w:rPr>
          <w:b/>
        </w:rPr>
        <w:t>E. 1</w:t>
      </w:r>
    </w:p>
    <w:p>
      <w:r>
        <w:t>Mit Entscheid vom 21. Januar 2026 verpflichtete das Bezirksgericht Hochdorf die Beschwerdeführerin und den Verfahrensbeteiligten, das Mietobjekt Loft Nr. xxx im 3. Obergeschoss inkl. Parkplatz Nr. xxx in der Tiefgarage der Liegenschaft U.________ in V.________ innert zehn Tagen seit Rechtskraft des Entscheids zu räumen, zu reinigen und zu verlassen und dem Beschwerdegegner sämtliche Schlüssel des Mietobjekts zurückzugeben.</w:t>
      </w:r>
    </w:p>
    <w:p>
      <w:r>
        <w:t>Mit Urteil vom 12. März 2026 wies das Kantonsgericht Luzern eine von der Beschwerdeführerin und vom Verfahrensbeteiligten gegen den bezirksgerichtlichen Entscheid vom 21. Januar 2026 erhobene Berufung ab, soweit es darauf eintrat.</w:t>
      </w:r>
    </w:p>
    <w:p>
      <w:r>
        <w:t>Mit Eingabe vom 19. März 2026 erklärte die Beschwerdeführerin dem Bundesgericht, das Urteil des Kantonsgerichts Luzern vom 12. März 2026 mit Beschwerde anfechten zu wollen.</w:t>
      </w:r>
    </w:p>
    <w:p>
      <w:r>
        <w:t>Mit Verfügung vom 23. März 2026 wies das Bundesgericht das Gesuch der Beschwerdeführerin um Gewährung der aufschiebenden Wirkung ab.</w:t>
      </w:r>
    </w:p>
    <w:p>
      <w:r>
        <w:t>Es wurden keine Vernehmlassungen eingeholt.</w:t>
      </w:r>
    </w:p>
    <w:p>
      <w:r>
        <w:rPr>
          <w:b/>
        </w:rPr>
        <w:t>E. 2</w:t>
      </w:r>
    </w:p>
    <w:p>
      <w:r>
        <w:t>Die Eingabe der Beschwerdeführerin vom 19. März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Unter den gegebenen Umständen ist ausnahmsweise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