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4A_136/2024 vom 5. September 2024</w:t>
      </w:r>
    </w:p>
    <w:p>
      <w:r>
        <w:t>Bundesgericht, 2024-09-05, FR</w:t>
      </w:r>
    </w:p>
    <w:p>
      <w:r>
        <w:rPr>
          <w:b/>
        </w:rPr>
        <w:t xml:space="preserve">Quelle: </w:t>
      </w:r>
      <w:r>
        <w:t>https://mcp.opencaselaw.ch/entscheid/bger_4A_136_2024</w:t>
      </w:r>
    </w:p>
    <w:p>
      <w:r>
        <w:t>FR: TF 4A_136/2024 du 5 septembre 2024</w:t>
      </w:r>
    </w:p>
    <w:p>
      <w:r>
        <w:t>IT: TF 4A_136/2024 del 5 settembre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 dans les mémoires qu'elles ont adressés au Tribunal fédéral, les parties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L'une des parties au moins n'avait pas son domicile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la recourante, aucune de ces conditions de recevabilité ne fait problème en l'espèce. Rien ne s'oppose, dès lors, à l'entrée en matière. Demeure réservé l'examen de la recevabilité, sous l'angle de leur motivation, des moyens invoqués par l'intéressée.</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 4A_244/2023 du 3 avril 2024 consid. 4.1 destiné à la publication et les références citées). Les critiques appellatoires sont irrecevables (arrêt 4A_65/2018 du 11 décembre 2018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premier moyen, la recourante, invoquant l' art. 190 al. 2 let. b LDIP , prétend que le TAS a admis, à tort, sa compétence pour connaître de la présente affaire.</w:t>
      </w:r>
    </w:p>
    <w:p>
      <w:r>
        <w:rPr>
          <w:b/>
        </w:rPr>
        <w:t>E. 5.1</w:t>
      </w:r>
    </w:p>
    <w:p>
      <w:r>
        <w:t>Saisi du grief d'incompétence, le Tribunal fédéral examine librement les questions de droit, y compris les questions préalables, qui déterminent la compétence ou l'incompétence du tribunal arbitral ( ATF 146 III 142 consid. 3.4.1; 133 III 139 consid. 5; arrêt 4A_618/2019 du 17 septembre 2020 consid. 4.1). Il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w:t>
      </w:r>
    </w:p>
    <w:p>
      <w:r>
        <w:t>Selon l'art. R47 du Code de l'arbitrage en matière de sport (édition 2023; ci-après: le Code), un appel contre une décision d'une fédération, association ou autre organisme sportif peut être déposé au TAS si les statuts ou règlements dudit organisme sportif le prévoient ou si les parties ont conclu une convention d'arbitrage particulière et dans la mesure aussi où la partie appelante a épuisé les voies de droit préalables à l'appel dont elle dispose en vertu des statuts ou règlements dudit organisme sportif.</w:t>
      </w:r>
    </w:p>
    <w:p>
      <w:r>
        <w:rPr>
          <w:b/>
        </w:rPr>
        <w:t>E. 5.2</w:t>
      </w:r>
    </w:p>
    <w:p>
      <w:r>
        <w:t>Dans la sentence attaquée, la Formation, se référant à l'art. 15.2 RAR, constate que la décision prise par la DADC concernant une éventuelle infraction aux règles antidopage commise par une athlète de niveau international peut être contestée exclusivement auprès du TAS. Elle souligne qu'il n'est pas contesté que la DADC est un "organisme sportif" au sens de l'art. R47 du Code et que la recourante est une sportive de niveau international. Selon les arbitres, l'art. 15.2 RAR, qui prévoit une forme d'arbitrage forcé, est valide au regard de l' art. 178 al. 2 LDIP . Ladite réglementation a été valablement édictée par le pouvoir exécutif russe sur la base d'une clause de délégation ancrée dans une loi au sens formel adoptée par le législateur russe. La Formation estime que l'art.15.2 RAR constitue une</w:t>
      </w:r>
    </w:p>
    <w:p>
      <w:r>
        <w:t>lex specialis par rapport à l'art. 22.1 du Code de procédure civile russe, lequel dispose que les litiges découlant de relations civiles ainsi que les conflits de travail impliquant des athlètes professionnels et des autres sportifs de haut niveau peuvent être soumis à l'arbitrage s'il existe une convention d'arbitrage valide entre les parties. Elle observe également que l'État russe a ratifié, en 2006, la Convention internationale de l'UNESCO contre le dopage dans le sport, dans laquelle il s'est expressément engagé à respecter les principes énoncés dans le CMA, parmi lesquels figure notamment la reconnaissance d'une voie d'appel exclusive auprès du TAS dans les litiges impliquant des athlètes de niveau international. Poursuivant son analyse, la Formation, se référant à l'arrêt rendu le 2 octobre 2018 par la Cour européenne des droits de l'homme (ci-après: la CourEDH) dans l'affaire Mutu et Pechstein contre la Suisse et à la jurisprudence du Tribunal fédéral (arrêt 4A_600/2020 du 27 janvier 2021), estime que l'arbitrage forcé prévu à l'art. 15.2 RAR est admissible, dans la mesure où le tribunal arbitral offre les garanties prévues par l'art. 6 par. 1 de la Convention européenne des droits de l'homme (CEDH; RS 0.101), en particulier celles d'indépendance et d'impartialité, ce qui est le cas du TAS. Elle constate, en outre, que la recourante a précédemment reconnu, devant la Chambre ad hoc du TAS, que l'art. 15.2 RAR constitue une clause attributive de compétence en faveur de la Chambre arbitrale d'appel du TAS. Indépendamment de ce qui précède, les arbitres estiment, par surabondance, que la recourante a, dans les faits, consenti à l'arbitrage auprès du TAS, étant donné qu'une athlète qui prend part au sport de compétition accepte les règles conditionnant sa participation aux épreuves en question et consent ainsi, de manière implicite, aux diverses normes prévues par la réglementation antidopage y relative, laquelle inclut la clause d'arbitrage au profit du TAS. Par conséquent, l'athlète concernée, compte tenu de sa participation à une compétition d'élite, est liée par les dispositions relatives à l'arbitrage forcé énoncées à l'art. 15.2 RAR (sentence, n. 274-300).</w:t>
      </w:r>
    </w:p>
    <w:p>
      <w:r>
        <w:rPr>
          <w:b/>
        </w:rPr>
        <w:t>E. 5.3</w:t>
      </w:r>
    </w:p>
    <w:p>
      <w:r>
        <w:t>Dans ses écritures, la recourante soutient, en substance, qu'elle n'a pas consenti à la clause d'arbitrage en faveur du TAS prévue à l'art. 15.2 RAR, raison pour laquelle la Formation aurait dû se déclarer incompétente. A son avis, il convient d'opérer une distinction entre la situation dans laquelle un sportif exprime son consentement à l'arbitrage mais ne le fait pas librement et celle où il y a une absence pure et simple de toute forme de consentement. Selon la recourante, les considérations émises par la CourEDH dans l'arrêt Mutu et Pechstein contre la Suisse ne seraient pas pertinentes ici, dans la mesure où lesdits athlètes avaient tous deux signé des documents dans lesquels ils consentaient à l'arbitrage, ce qui n'est pas le cas en l'espèce. L'intéressée relève également que le site internet du TAS indique qu'il est important que les athlètes acceptent par écrit les clauses attributives de compétence en faveur du TAS. Elle estime, par ailleurs, que l'art. 15.2 RAR ne saurait l'emporter sur l'art. 22 du Code de procédure civile russe, ce dernier occupant un rang supérieur du point de vue de la hiérarchie des normes. Elle réfute aussi la thèse selon laquelle elle aurait exprimé son consentement à l'arbitrage à l'occasion de la procédure conduite devant la Chambre ad hoc du TAS durant les Jeux Olympiques de Pékin 2022. La recourante fait encore valoir que son consentement à l'arbitrage ne saurait être déduit uniquement de sa seule participation aux compétitions sportives. N'ayant jamais exprimé son consentement par écrit à la clause d'arbitrage prévue à l'art. 15.2 RAR ni signé de document faisant référence à cette disposition, elle est d'avis que le TAS aurait dû décliner sa compétence.</w:t>
      </w:r>
    </w:p>
    <w:p>
      <w:r>
        <w:rPr>
          <w:b/>
        </w:rPr>
        <w:t>E. 5.4</w:t>
      </w:r>
    </w:p>
    <w:p>
      <w:r>
        <w:t>Semblable argumentation n'emporte pas la conviction de la Cour de céans.</w:t>
      </w:r>
    </w:p>
    <w:p>
      <w:r>
        <w:rPr>
          <w:b/>
        </w:rPr>
        <w:t>E. 5.4.1</w:t>
      </w:r>
    </w:p>
    <w:p>
      <w:r>
        <w:t>On peut s'interroger sur le point de savoir si, comme le soutient la recourante, il convient d'opérer une distinction entre la situation dans laquelle un athlète n'a jamais formellement consenti à une clause d'arbitrage prévue par une loi au sens matériel et celle où un sportif a signé un document prévoyant directement ou indirectement la compétence du TAS, sans avoir d'autre choix. Selon la jurisprudence de la CourEDH, un arbitrage forcé, c'est-à-dire un arbitrage imposé par la loi, est en principe valable pour autant que le tribunal arbitral offre les garanties prévues par l' art. 6 par. 1 CEDH (arrêt Mutu et Pechstein contre Suisse, § 95 et 114 s.). La CourEDH a aussi considéré que le TAS a les apparences d'un tribunal établi par la loi et qu'il est véritablement indépendant et impartial (arrêt Mutu et Pechstein contre Suisse, § 149 et 159), ce qu'elle a du reste confirmé ultérieurement (arrêt Michel Platini contre Suisse du 11 février 2020, § 65). On relèvera, par ailleurs, que le nouvel art. 178 al. 4 LDIP , entré en vigueur le 1er janvier 2021, prévoit que les dispositions du chapitre 12 LDIP s'appliquent par analogie à une clause d'arbitrage prévue dans un acte juridique unilatéral ou des statuts, ce qui a conduit certains auteurs à soutenir que des athlètes pourraient être liés par une clause d'arbitrage figurant dans les statuts d'une fédération sportive dont ils sont, directement ou indirectement membres, quand bien même ils n'auraient pas signé de formulaire d'adhésion à de tels statuts (TSCHANZ/SPOORENBERG, Chronique de jurisprudence arbitrale, in Revue de l'arbitrage 2021 p. 1237 s.). Point n'est toutefois besoin de pousser plus avant l'examen de cette problématique pour les motifs qui vont suivre.</w:t>
      </w:r>
    </w:p>
    <w:p>
      <w:r>
        <w:rPr>
          <w:b/>
        </w:rPr>
        <w:t>E. 5.4.2</w:t>
      </w:r>
    </w:p>
    <w:p>
      <w:r>
        <w:t>Selon la jurisprudence, un comportement donné peut, suivant les circonstances, suppléer, en vertu des règles de la bonne foi, à l'observation d'une prescription de forme ( ATF 129 III 727 consid. 5.3.1; 121 III 38 consid. 3). Ainsi, le problème se déplacera bien souvent de la forme de la convention d'arbitrage au consentement, question de fond au sens de l' art. 178 al. 2 LDIP (arrêts 4A_174/2021 du 19 juillet 2021 consid. 5.2.2; 4A_548/2009 du 20 janvier 2010 consid. 4.1 et la référence citée). Même lorsqu'il n'a pas signé de document renvoyant directement ou indirectement à une clause d'arbitrage en faveur du TAS, un athlète peut dès lors, suivant les circonstances, par son comportement, manifester son acceptation de la compétence du TAS.</w:t>
      </w:r>
    </w:p>
    <w:p>
      <w:r>
        <w:t>Tel est le cas en l'espèce. En l'occurrence, l'art. 15.2 RAR, édicté par le Ministère des sports russe sur la base d'une loi adoptée par le pouvoir législatif russe, dispose que les décisions prises par la DADC concernant d'éventuelles infractions à la réglementation antidopage commises par des athlètes de niveau international peuvent être contestées uniquement auprès du TAS. La recourante connaissait la norme précitée puisqu'elle y a fait expressément référence lors de la procédure conduite devant la Chambre ad hoc du TAS au sujet de sa suspension provisoire en relation avec le même contrôle antidopage. En effet, l'athlète a notamment indiqué ce qui suit:</w:t>
      </w:r>
    </w:p>
    <w:p>
      <w:r>
        <w:t>"[a]lthough Article 15.2 Russian ADR [RAR] provides that 'a decision to apply or lift a provisional suspension based on a preliminary hearing' can be appealed before CAS, there is no provision in the Russian ADR granting jurisdiction to the CAS Ad Hoc Division; therefore the CAS Appeals Division should be the competent body...</w:t>
      </w:r>
    </w:p>
    <w:p>
      <w:r>
        <w:t>-. the expedited procedure before the CAS Ad Hoc Division does not allow sufficient time to safeguard the Athlete's due process rights; while the Athlete would have more possibilities to defend her case before the CAS Appeals Division (...) : 'Had the Applicants filed their applications before the CAS Appeals Arbitration Division, as they should have, A.________ would at least then have had the right to appoint an arbitrator and would have had sufficient time to prepare her defense, including by presenting medical science based detailed expert evidence' " (sentence, n. 296 s.; passages en caractère gras mis en évidence par la Cour de céans).</w:t>
      </w:r>
    </w:p>
    <w:p>
      <w:r>
        <w:t>Bien qu'elle soutienne le contraire, en agissant comme elle l'a fait, la recourante a reconnu, par ses déclarations explicites mises en exergue ci-dessus, la compétence de la Chambre arbitrale d'appel du TAS pour connaître des décisions prises par la DADC la concernant en lien avec les faits qui lui étaient reprochés. La recourante a ainsi clairement manifesté le fait qu'elle s'estimait liée par la clause d'arbitrage insérée à l'art. 15.2 RAR. Sa tentative de minimiser, après coup, la portée des déclarations reproduites ci-dessus est ainsi vouée à l'échec.</w:t>
      </w:r>
    </w:p>
    <w:p>
      <w:r>
        <w:t>En tout état de cause, force est de relever que la recourante adopte une attitude manifestement incompatible avec les règles de la bonne foi, dans la mesure où elle a affirmé, dans un premier temps, que son affaire aurait dû être soumise à la Chambre arbitrale d'appel du TAS, avant de dénier, dans un second temps, toute portée à l'art. 15.2 RAR aux fins de nier la compétence de ladite Chambre appelée à statuer sur la décision rendue sur le fond par la DADC dans la même affaire. Une telle attitude contradictoire ne mérite aucune protection.</w:t>
      </w:r>
    </w:p>
    <w:p>
      <w:r>
        <w:rPr>
          <w:b/>
        </w:rPr>
        <w:t>E. 6</w:t>
      </w:r>
    </w:p>
    <w:p>
      <w:r>
        <w:t>Dans un autre grief fondé lui aussi sur l' art. 190 al. 2 let. b LDIP , la recourante soutient que la Formation aurait rendu une sentence dans le cadre d'un litige qui ne serait pas arbitrable, ce qui entraînerait la nullité de la décision attaquée ou devrait, à tout le moins, conduire à son annulation. A en croire l'intéressée, les sanctions qui lui ont été infligées sur la base du droit public russe, et non d'une réglementation édictée par une fédération sportive de droit privé, revêtent un caractère "pénal", respectivement s'apparentent à des "sanctions administratives".</w:t>
      </w:r>
    </w:p>
    <w:p>
      <w:r>
        <w:rPr>
          <w:b/>
        </w:rPr>
        <w:t>E. 6.1</w:t>
      </w:r>
    </w:p>
    <w:p>
      <w:r>
        <w:t>Tel qu'il est présenté, le grief ne saurait prospérer.</w:t>
      </w:r>
    </w:p>
    <w:p>
      <w:r>
        <w:t>Selon la jurisprudence, l'exception d'inarbitrabilité du litige obéit à la même règle que l'exception d'incompétence. Partant, à l'instar de celle-ci, elle doit être soulevée préalablement à toute défense sur le fond sous peine de forclusion ( ATF 143 III 578 consid. 3.2.2.1 et les références citées). Au considérant 3.2.2.1 de l'arrêt publié in ATF 143 III 578 , le Tribunal fédéral a certes laissé indécise la question de savoir si le défaut d'arbitrabilité pouvait être constaté d'office par le tribunal arbitral. En l'occurrence, il n'est toutefois pas admissible, au regard des règles de la bonne foi procédurale et de l'ensemble des circonstances, que la recourante puisse soulever semblable moyen pour la première fois devant le Tribunal fédéral. Il faut en effet bien voir que l'intéressée n'a, à aucun moment durant la procédure d'arbitrage, prétendu que le litige ne serait pas arbitrable, mais s'est bornée à contester la compétence du TAS pour d'autres motifs. La recourante est ainsi malvenue de venir soutenir, pour la première fois devant le Tribunal fédéral, que la Formation aurait méconnu l' art. 177 al. 1 LDIP , étant donné qu'elle aurait pu et dû faire valoir pareille argumentation devant le TAS.</w:t>
      </w:r>
    </w:p>
    <w:p>
      <w:r>
        <w:t>En tout état de cause, le simple fait que l'État russe a choisi, à l'instar d'autres pays tels que la France, de codifier dans son ordre juridique les principes du CMA sous la forme d'une loi au sens matériel ne saurait avoir pour effet de rendre un tel litige inarbitrable. Admettre le contraire reviendrait à mettre en péril le bon fonctionnement de l'arbitrage sportif mis en place pour lutter contre le fléau que constitue le dopage. La recourante ne peut pas davantage être suivie lorsqu'elle soutient que les sanctions présenteraient un caractère pénal ou s'apparenteraient à des sanctions administratives au motif qu'elles sont prévues dans une loi au sens matériel. Les mesures prononcées à l'encontre de l'athlète relèvent en effet du droit disciplinaire sportif, étant donné qu'elles se limitent à ce domaine-là et qu'elles ont uniquement pour effet d'interdire à l'intéressée de participer à des activités sportives durant une période déterminée et de la priver, pendant un certain laps de temps, de divers avantages financiers dont elle aurait pu bénéficier si elle n'avait pas enfreint la réglementation antidopage. Au vu de ce qui précède, la recourante, si tant est qu'elle ne soit pas forclose à soulever le moyen considéré devant le Tribunal fédéral, échoue à démontrer que le présent litige ne serait pas arbitrable.</w:t>
      </w:r>
    </w:p>
    <w:p>
      <w:r>
        <w:rPr>
          <w:b/>
        </w:rPr>
        <w:t>E. 7</w:t>
      </w:r>
    </w:p>
    <w:p>
      <w:r>
        <w:t>Dans un dernier moyen, la recourante soutient que la Formation aurait rendu une sentence incompatible avec l'ordre public matériel ( art. 190 al. 2 let . e LDIP).</w:t>
      </w:r>
    </w:p>
    <w:p>
      <w:r>
        <w:t>Avant d'examiner la recevabilité et, le cas échéant, le mérite des critiques formulées au soutien de ce moyen, il convient de rappeler ce que recouvre la notion d'ordre public matériel visée par la disposition susmentionnée.</w:t>
      </w:r>
    </w:p>
    <w:p>
      <w:r>
        <w:rPr>
          <w:b/>
        </w:rPr>
        <w:t>E. 7.1</w:t>
      </w:r>
    </w:p>
    <w:p>
      <w:r>
        <w:t>Une sentence est incompatible avec l'ordre public matériel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w:t>
      </w:r>
    </w:p>
    <w:p>
      <w:r>
        <w:t>Pour juger si la sentence est compatible avec l'ordre public matériel,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les arbitres est compatible ou non avec la définition jurisprudentielle de l'ordre public matériel (arrêt 4A_157/2017 du 14 décembre 2017 consid. 3.3.3).</w:t>
      </w:r>
    </w:p>
    <w:p>
      <w:r>
        <w:rPr>
          <w:b/>
        </w:rPr>
        <w:t>E. 7.2</w:t>
      </w:r>
    </w:p>
    <w:p>
      <w:r>
        <w:t>En matière de sanctions infligées dans le domaine du sport, le Tribunal fédéral n'intervient à l'égard des décisions rendues en vertu d'un pouvoir d'appréciation que si elles aboutissent à un résultat manifestement injuste ou à une iniquité choquante (arrêts 4A_318/2018, précité, consid. 4.5.2; 4A_600/2016, précité, consid. 3.7.2). Dans l'affaire Platini où elle a été amenée à examiner la sanction infligée à ce dernier sous l'angle déjà restreint du grief d'arbitraire au sens de l' art. 393 let . e CPC, la Cour de céans a relevé que seule la mise en évidence d'une ou de plusieurs violations crasses de leur pouvoir d'appréciation par les arbitres, qui plus est à l'origine d'une sanction excessivement sévère, pourrait justifier l'intervention du Tribunal fédéral (arrêt 4A_600/2016, précité, consid. 3.7.2). Le pouvoir d'examen de la Cour de céans est encore plus limité</w:t>
      </w:r>
    </w:p>
    <w:p>
      <w:r>
        <w:t>in casu , puisqu'il s'exerce dans le cadre du grief de contrariété à l'ordre public matériel, notion plus restrictive que celle d'arbitraire.</w:t>
      </w:r>
    </w:p>
    <w:p>
      <w:r>
        <w:rPr>
          <w:b/>
        </w:rPr>
        <w:t>E. 7.3</w:t>
      </w:r>
    </w:p>
    <w:p>
      <w:r>
        <w:t>Selon la recourante, la Formation aurait indûment refusé de tenir compte de son jeune âge et de son statut de personne protégée au regard du RAR et du CMA lors de la fixation de la sanction prononcée à son encontre. L'intéressée fait aussi valoir que, dans l'avis de droit qu'il avait rédigé en 2019 sur le projet de révision du CMA, Jean-Paul Costa, ancien président de la CourEDH, avait indiqué qu'une infraction à la réglementation antidopage commise par une personne protégée, tel un enfant, constituait un facteur atténuant. Elle estime ainsi qu'il est nécessaire de ne pas traiter les enfants de la même manière que les adultes en matière de lutte antidopage. Elle relève en outre que de nombreux États ont adopté un système répressif opérant une distinction entre les prévenus majeurs et mineurs en matière pénale. La recourante critique ensuite l'interprétation donnée par les arbitres à certaines dispositions du RAR et soutient que le raisonnement tenu par la Formation est empreint de contradictions. En tout état de cause, elle estime que le fait de sanctionner une violation des règles antidopage commise par un enfant de la même manière que s'il s'agissait d'un adulte méconnaît la conception universelle selon laquelle les mineurs nécessitent une protection accrue exigeant un traitement différencié afin de tenir compte de leur responsabilité atténuée. La recourante insiste aussi sur le fait que la Formation n'a jamais conclu qu'elle était une tricheuse ni considéré qu'il était établi qu'elle avait enfreint intentionnellement le RAR. Elle rappelle également que la Formation a reconnu elle-même que la sanction infligée à une athlète âgée de 15 ans au moment de la violation des règles antidopage pouvait paraître sévère et disproportionnée.</w:t>
      </w:r>
    </w:p>
    <w:p>
      <w:r>
        <w:rPr>
          <w:b/>
        </w:rPr>
        <w:t>E. 7.4</w:t>
      </w:r>
    </w:p>
    <w:p>
      <w:r>
        <w:t>Force est de relever d'emblée le caractère appellatoire marqué de l'argumentation présentée par la recourante. Celle-ci consacre, en effet, de nombreux développements visant à critiquer la manière dont les arbitres ont interprété les dispositions du RAR applicables en l'espèce. Ce faisant, l'intéressée confond derechef le Tribunal fédéral avec une cour d'appel dans la mesure où elle cherche à entraîner la Cour de céans sur le terrain de l'application du droit matériel et à l'inciter à contrôler librement l'application faite par les arbitres des normes topiques du RAR. Une telle démarche est inadmissible. La recourante le reconnaît du reste elle-même, à demi-mots, puisqu'elle indique, dans son mémoire de recours, que la "question de savoir si les arbitres ont mal appliqué le règlement antidopage russe ou si celui-ci comporte une lacune qu'ils auraient dû combler peut rester ouverte". En réalité, la seule question à résoudre ici est celle de savoir si la Formation, au regard de l'ensemble des circonstances de la cause en litige, a méconnu ou non l'ordre public matériel en infligeant à la recourante une suspension d'une durée de quatre ans et en disqualifiant tous les résultats obtenus par elle depuis l'infraction commise. Une réponse positive à cette question exige que le résultat auquel la sentence attaquée a abouti, et non pas déjà les motifs qui sous-tendent celle-ci, soit incompatible avec l'ordre public, ce qui signifie que la sanction infligée doit être manifestement injuste dans son résultat ou conduire à une iniquité choquante.</w:t>
      </w:r>
    </w:p>
    <w:p>
      <w:r>
        <w:t>Tel n'est clairement pas le cas ici. Les critiques formulées par la recourante, considérées à la lumière du pouvoir d'examen restreint dont jouit la Cour de céans, ne révèlent aucune contrariété à l'ordre public matériel. A la lecture de la sentence entreprise, il appert en effet que la Formation n'a négligé aucune circonstance pertinente et qu'elle a bel et bien tenu compte du jeune âge de l'athlète concernée (15 ans et 8 mois) au moment d'apprécier les faits qui lui étaient reprochés. A cet égard, la Formation a certes relevé que la recourante revêtait le statut de personne protégée, lequel commande, dans certaines circonstances particulières, mais pas toutes, de traiter différemment de telles personnes des autres sportifs. Elle a toutefois nié ici l'existence de telles circonstances particulières, raison pour laquelle elle a estimé qu'il ne se justifiait pas de prononcer une sanction moins sévère à l'encontre de la recourante. Sur ce point, la Formation a souligné que la réglementation antidopage applicable prévoit une suspension d'une durée de quatre ans - sans opérer de distinction aucune entre les personnes protégées et les autres athlètes - lorsque, comme en l'espèce, la violation des règles antidopage n'implique pas une substance spécifiée et que l'athlète ne parvient pas à établir que ladite violation n'était pas intentionnelle. Elle a également relevé, à juste titre, que l'intéressée ne contestait pas avoir commis une infraction à la réglementation antidopage. Il ressort en outre des constatations faites par les arbitres que la recourante, nonobstant son jeune âge, avait déjà pris part à plusieurs compétitions internationales de patinage artistique avant le contrôle antidopage qui s'est révélé positif (sentence, n. 4) et qu'elle était éduquée et consciente de ses obligations en matière de sécurité alimentaire (sentence, n. 370 let. l). Il apparaît ainsi que l'athlète concernée était déjà expérimentée malgré son jeune âge. La recourante ne remet pas véritablement en cause les éléments retenus par les arbitres pour justifier la sanction prononcée par eux, mais se borne, en réalité, à affirmer que son statut de personne protégée commanderait de la punir moins sévèrement que d'autres sportifs placés dans les mêmes circonstances. Ce faisant, elle échoue manifestement à démontrer que la sanction qui lui a été infligée serait, vu sa durée, incompatible avec l'ordre public matériel, étant donné que la violation des règles antidopage est avérée et que l'intéressée n'a pas réussi à démontrer, au degré de preuve requis, que l'infraction à la réglementation antidopage n'était pas intentionnelle.</w:t>
      </w:r>
    </w:p>
    <w:p>
      <w:r>
        <w:t>Sur le plan des principes et de manière plus générale, on ne discerne pas pour quelle raison le jeune âge d'un sportif reconnu coupable d'une infraction à la réglementation antidopage, réputée intentionnelle, commanderait nécessairement de le punir moins sévèrement qu'un athlète âgé de quelques années de plus que lui. Le fait d'infliger systématiquement des sanctions moins sévères à de jeunes athlètes, en raison uniquement de leur âge, pourrait se révéler contraire aux objectifs poursuivis en matière de lutte antidopage car les sanctions prononcées pourraient avoir un effet moins dissuasif et risqueraient d'inciter davantage de jeunes sportifs à avoir recours à des substances illicites pour améliorer leurs performances, avec les conséquences néfastes que peut entraîner l'usage de produits dopants sur leur santé. Il ne faut en outre pas perdre de vue que les règles antidopage et les sanctions y relatives visent à assurer une compétition loyale entre les divers athlètes. Or, l'objectif principal poursuivi en matière de lutte antidopage risquerait d'être mis à mal si, en présence d'une violation des règles antidopage réputée intentionnelle, on venait à sanctionner moins sévèrement les personnes protégées que les autres athlètes uniquement en raison de leur jeune âge.</w:t>
      </w:r>
    </w:p>
    <w:p>
      <w:r>
        <w:t>En l'espèce, la recourante qui, malgré son âge (15 ans et 8 mois) au moment des faits reprochés, était déjà expérimentée, étant donné qu'elle avait participé à diverses compétitions internationales de patinage artistique, n'avance aucune raison objective qui justifierait de lui réserver un traitement distinct de celui applicable aux autres sportives ni,</w:t>
      </w:r>
    </w:p>
    <w:p>
      <w:r>
        <w:t>a fortiori , n'établit que le résultat auquel a abouti la Formation serait incompatible avec l'ordre public matériel. Il s'ensuit le rejet du moyen considéré.</w:t>
      </w:r>
    </w:p>
    <w:p>
      <w:r>
        <w:rPr>
          <w:b/>
        </w:rPr>
        <w:t>E. 7.5</w:t>
      </w:r>
    </w:p>
    <w:p>
      <w:r>
        <w:t>L'intéressée fait enfin grief au TAS d'avoir procédé à une médiatisation excessive de cette affaire en publiant plusieurs communiqués de presse et de n'avoir ainsi pas préservé la confidentialité de la procédure impliquant une personne revêtant le statut de personne protégée.</w:t>
      </w:r>
    </w:p>
    <w:p>
      <w:r>
        <w:t>Semblable reproche tombe à faux. Selon l'art. 17.3.7 RAR, qui reprend les principes énoncés à l'art. 14.3.7 CMA, la divulgation d'une affaire impliquant une personne protégée est possible mais doit être proportionnée aux faits et aux circonstances du cas. En l'occurrence, force est d'admettre que le TAS était en droit de publier divers communiqués de presse, dans la mesure où la présente affaire avait défrayé la chronique lors des Jeux Olympiques de Pékin 2022 et où elle concernait une athlète qui jouissait déjà d'une grande notoriété à ce moment-là. La fédération intimée expose du reste dans sa réponse, sans être véritablement contredite par la recourante, que la presse n'avait pas attendu les communiqués de presse du TAS pour relayer des informations à propos de la présente cause. Les critiques émises par la recourante sont ainsi impropres à démontrer une incompatibilité de la sentence attaquée avec l'ordre public matériel.</w:t>
      </w:r>
    </w:p>
    <w:p>
      <w:r>
        <w:rPr>
          <w:b/>
        </w:rPr>
        <w:t>E. 8</w:t>
      </w:r>
    </w:p>
    <w:p>
      <w:r>
        <w:t>Au vu de ce qui précède, le recours doit être rejeté dans la mesure de sa recevabilité. La recourante, qui succombe, supportera les frais de la présente procédure ( art. 66 al. 1 LTF ) et versera à la fédération intimée ainsi qu'à la fondation 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