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136/2023 vom 10. März 2023</w:t>
      </w:r>
    </w:p>
    <w:p>
      <w:r>
        <w:t>Bundesgericht, 2023-03-10, DE</w:t>
      </w:r>
    </w:p>
    <w:p>
      <w:r>
        <w:rPr>
          <w:b/>
        </w:rPr>
        <w:t xml:space="preserve">Quelle: </w:t>
      </w:r>
      <w:r>
        <w:t>https://mcp.opencaselaw.ch/entscheid/bger_4A_136_2023</w:t>
      </w:r>
    </w:p>
    <w:p>
      <w:r>
        <w:t>FR: TF 4A 136/2023 du 10 mars 2023</w:t>
      </w:r>
    </w:p>
    <w:p>
      <w:r>
        <w:t>IT: TF 4A 136/2023 del 10 marzo 2023</w:t>
      </w:r>
    </w:p>
    <w:p>
      <w:pPr>
        <w:pStyle w:val="Heading2"/>
      </w:pPr>
      <w:r>
        <w:t>Regeste</w:t>
      </w:r>
    </w:p>
    <w:p>
      <w:r>
        <w:t>Ausweisung; Rechtsschutz in klaren Fällen, | Vertragsrecht</w:t>
      </w:r>
    </w:p>
    <w:p>
      <w:pPr>
        <w:pStyle w:val="Heading2"/>
      </w:pPr>
      <w:r>
        <w:t>Erwägungen</w:t>
      </w:r>
    </w:p>
    <w:p>
      <w:r>
        <w:rPr>
          <w:b/>
        </w:rPr>
        <w:t>E. 1.1</w:t>
      </w:r>
    </w:p>
    <w:p>
      <w:r>
        <w:t>Mit Entscheid vom 29. Dezember 2022 wies das Zivilgericht des Kantons Basel-Stadt die Beschwerdeführerin an, die bei der Beschwerdegegnerin gemieteten Räumlichkeiten (xxx) bis spätestens Montag, 16. Januar 2023 zu räumen. Die Beschwerdeführerin focht den zivilgerichtlichen Entscheid vom 29. Dezember 2022 beim Appellationsgericht des Kantons Basel-Stadt an. Mit Verfügung vom 9. Januar 2023 wies das Appellationsgericht das Gesuch der Beschwerdeführerin um Erstreckung der Frist für die Einreichung der Berufung ab und setzte ihr unter anderem eine Frist zur Leistung eines Kostenvorschusses von Fr. 600.-- an. Mit Verfügung vom 12. Januar 2023 wies es zudem die sinngemässen Anträge der Beschwerdeführerin ab, ihr vorsorglich das Betreten der Wohnung und das Auswechseln des Zylinders des Wohnungstürschlosses zu gestatten, soweit es darauf eintrat.</w:t>
      </w:r>
    </w:p>
    <w:p>
      <w:r>
        <w:rPr>
          <w:b/>
        </w:rPr>
        <w:t>E. 1.2</w:t>
      </w:r>
    </w:p>
    <w:p>
      <w:r>
        <w:t>Die Beschwerdeführerin focht den Entscheid des Zivilgerichts vom 29. Dezember 2022 sowie die Verfügungen des Appellationsgerichts vom 9. Januar 2023 (Verfahren 4D_6/2023) und 12. Januar 2023 (Verfahren 4D_8/2023) beim Bundesgericht mit Beschwerde an. Mit Urteil 4D_6/2023 / 4D_8/2023 vom 27. Februar 2023 trat das Bundesgericht auf die Beschwerden nicht ein.</w:t>
      </w:r>
    </w:p>
    <w:p>
      <w:r>
        <w:rPr>
          <w:b/>
        </w:rPr>
        <w:t>E. 1.3</w:t>
      </w:r>
    </w:p>
    <w:p>
      <w:r>
        <w:t>Mit Entscheid vom 3. Februar 2023 wies das Appellationsgericht die Berufung der Beschwerdeführerin gegen den zivilgerichtlichen Entscheid vom 29. Dezember 2022 ab. Mit Eingabe vom 2. März 2023 erklärte die Beschwerdeführerin dem Bundesgericht, den Entscheid des Appellationsgerichts vom 3. Februar 2023 mit Beschwerde anfechten zu wollen. Am 9. März 2023 reichte die Beschwerdeführerin dem Bundesgericht eine weitere Eingabe ein, in der sie unter anderem um Erteilung der aufschiebenden Wirkung ersuchte.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ihren Beschwerdeeingaben vom 2. und 9. März 2023 nicht hinreichend mit den Erwägungen des angefochtenen Entscheids des Appellationsgerichts des Kantons Basel-Stadt vom 3. Februar 2023 auseinander und zeigt nicht rechtsgenügend auf, inwiefern die Vorinstanz mit ihrem Entscheid Bundesrecht verletzt hätte, sondern unterbreitet dem Bundesgericht in unzulässiger Weise ihre eigene Sicht der Dinge. Auf die Beschwerde ist somit mangels hinreichender Begründung nicht einzutreten ( Art. 108 Abs. 1 lit. b BGG ).</w:t>
      </w:r>
    </w:p>
    <w:p>
      <w:r>
        <w:rPr>
          <w:b/>
        </w:rPr>
        <w:t>E. 3</w:t>
      </w:r>
    </w:p>
    <w:p>
      <w:r>
        <w:t>Mit dem Entscheid in der Sache wird das Gesuch um Erteilung der aufschiebenden Wirkung gegenstandslos. Unter den gegebenen Umständen ist für das bundesgerichtliche Verfahren ausnahmsweise auf die Erhebung von Gerichtskosten zu verzichten (Art. 66 Abs. 1 zweiter Satz BGG).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