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4A_136/2020 vom 26. Mai 2020</w:t>
      </w:r>
    </w:p>
    <w:p>
      <w:r>
        <w:t>Bundesgericht, 2020-05-26, DE</w:t>
      </w:r>
    </w:p>
    <w:p>
      <w:r>
        <w:rPr>
          <w:b/>
        </w:rPr>
        <w:t xml:space="preserve">Quelle: </w:t>
      </w:r>
      <w:r>
        <w:t>https://mcp.opencaselaw.ch/entscheid/bger_4A_136_2020</w:t>
      </w:r>
    </w:p>
    <w:p>
      <w:r>
        <w:t>FR: TF 4A_136/2020 du 26 mai 2020</w:t>
      </w:r>
    </w:p>
    <w:p>
      <w:r>
        <w:t>IT: TF 4A_136/2020 del 26 maggio 2020</w:t>
      </w:r>
    </w:p>
    <w:p>
      <w:pPr>
        <w:pStyle w:val="Heading2"/>
      </w:pPr>
      <w:r>
        <w:t>Volltext</w:t>
      </w:r>
    </w:p>
    <w:p>
      <w:r>
        <w:t>Bundesgericht</w:t>
      </w:r>
    </w:p>
    <w:p>
      <w:r>
        <w:t>Tribunal fédéral</w:t>
      </w:r>
    </w:p>
    <w:p>
      <w:r>
        <w:t>Tribunale federale</w:t>
      </w:r>
    </w:p>
    <w:p>
      <w:r>
        <w:t>Tribunal federal</w:t>
      </w:r>
    </w:p>
    <w:p>
      <w:r>
        <w:t>4A_136/2020</w:t>
      </w:r>
    </w:p>
    <w:p>
      <w:r>
        <w:t>Urteil vom 26. Mai 2020</w:t>
      </w:r>
    </w:p>
    <w:p>
      <w:r>
        <w:t>I. zivilrechtliche Abteilung</w:t>
      </w:r>
    </w:p>
    <w:p>
      <w:r>
        <w:t>Besetzung</w:t>
      </w:r>
    </w:p>
    <w:p>
      <w:r>
        <w:t>Bundesrichterin Kiss, Präsidentin,</w:t>
      </w:r>
    </w:p>
    <w:p>
      <w:r>
        <w:t>Gerichtsschreiber Widmer.</w:t>
      </w:r>
    </w:p>
    <w:p>
      <w:r>
        <w:t>Verfahrensbeteiligte</w:t>
      </w:r>
    </w:p>
    <w:p>
      <w:r>
        <w:t>A.________ AG in Liquidation,</w:t>
      </w:r>
    </w:p>
    <w:p>
      <w:r>
        <w:t>Beschwerdeführerin,</w:t>
      </w:r>
    </w:p>
    <w:p>
      <w:r>
        <w:t>gegen</w:t>
      </w:r>
    </w:p>
    <w:p>
      <w:r>
        <w:t>B.________ AG,</w:t>
      </w:r>
    </w:p>
    <w:p>
      <w:r>
        <w:t>Beschwerdegegnerin.</w:t>
      </w:r>
    </w:p>
    <w:p>
      <w:r>
        <w:t>Gegenstand</w:t>
      </w:r>
    </w:p>
    <w:p>
      <w:r>
        <w:t>Aberkennungsklage; Kostenvorschussverfügung,</w:t>
      </w:r>
    </w:p>
    <w:p>
      <w:r>
        <w:t>Beschwerde gegen den Entscheid des Handelsgerichts des Kantons St. Gallen vom 31. Januar 2020 (HG.2020.4-HGK).</w:t>
      </w:r>
    </w:p>
    <w:p>
      <w:r>
        <w:t>In Erwägung,</w:t>
      </w:r>
    </w:p>
    <w:p>
      <w:r>
        <w:t>dass die Beschwerdeführerin als Klägerin im Verfahren HG.2020.4-HGK vor dem Handelsgericht des Kantons St. Gallen den geforderten Gerichtskostenvorschuss in der Höhe von Fr. 30'000.-- mit Schreiben vom 27. Januar 2020 beanstandete;</w:t>
      </w:r>
    </w:p>
    <w:p>
      <w:r>
        <w:t>dass das Handelsgericht die Kostenvorschussverfügung mit Verfügung vom 31. Januar 2020 in Wiedererwägung zog und die Pflicht der Beschwerdeführerin zur Leistung eines Gerichtskostenvorschusses in genannter Höhe bestätigte;</w:t>
      </w:r>
    </w:p>
    <w:p>
      <w:r>
        <w:t>dass die Beschwerdeführerin gegen diese Verfügung mit Eingabe vom 9. März 2020 beim Bundesgericht Beschwerde erhob;</w:t>
      </w:r>
    </w:p>
    <w:p>
      <w:r>
        <w:t>dass die Beschwerdeführerin mit Schreiben vom 12. Mai 2020 mitteilte, es sei über sie vom Kreisgericht Werdenberg Sarganserland der Konkurs eröffnet worden, was sie veranlasse, ihre Beschwerde vom 9. März 2020 zurückzuziehen;</w:t>
      </w:r>
    </w:p>
    <w:p>
      <w:r>
        <w:t>dass sich aus dem Handelsregister des Kantons St. Gallen ergibt, dass die Beschwerdeführerin gemäss Konkurserkenntnis des Konkursrichters des Kreisgerichts Werdenberg Sarganserland vom 17. März 2020 mit Wirkung ab dem 17. März 2020, 15:00 Uhr, aufgelöst wurde;</w:t>
      </w:r>
    </w:p>
    <w:p>
      <w:r>
        <w:t>dass die Beschwerdeführerin somit am 12. Mai 2020 nicht befugt war, die Beschwerde zurückzuziehen, weil sie das Prozessführungsrecht mit der Konkurseröffnung verloren hatte ( BGE 132 III 89 E. 1.3 S. 93);</w:t>
      </w:r>
    </w:p>
    <w:p>
      <w:r>
        <w:t>dass ihre Rückzugserklärung deshalb unbeachtlich ist und das Verfahren nicht infolge Rückzugs der Beschwerde abgeschrieben werden kann;</w:t>
      </w:r>
    </w:p>
    <w:p>
      <w:r>
        <w:t>dass die Beschwerde, wie nachfolgend aufzuzeigen ist, offensichtlich unzulässig ist, weshalb das bundesgerichtliche Verfahren ungeachtet des Umstandes, dass über die Beschwerdeführerin der Konkurs eröffnet wurde, nicht in Anwendung von Art. 207 SchKG sistiert wird (vgl. Urteile 4A_64/2016 vom 3. Juni 2016; 5A_539/2008 vom 2. Oktober 2008 und 5A_398/2008 vom 4. September 2008; ferner Urteil 4D_33/2011 vom 30. Mai 2011);</w:t>
      </w:r>
    </w:p>
    <w:p>
      <w:r>
        <w:t>dass es sich bei der angefochtenen Verfügung des Handelsgerichts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w:t>
      </w:r>
    </w:p>
    <w:p>
      <w:r>
        <w:t>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Zulässigkeit der Beschwerde nach Art. 93 Abs. 1 lit. b BGG vorliegend von vornherein ausser Frage steht, da das Bundesgericht im Fall der Gutheissung der Beschwerde keinen Endentscheid fällen könnte;</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im vorliegenden Fall noch keine Nachfrist im Sinne von Art. 101 Abs. 3 ZPO mit Androhung eines Nichteintretens für den Säumnisfall angesetzt wurde;</w:t>
      </w:r>
    </w:p>
    <w:p>
      <w:r>
        <w:t>dass unabhängig davon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w:t>
      </w:r>
    </w:p>
    <w:p>
      <w:r>
        <w:t>dass die Beschwerdeführerin sich dazu nicht substanziiert äussert und damit ihre finanzielle Unfähigkeit, den verlangten Kostenvorschuss zu leisten, nicht, jedenfalls nicht hinreichend behauptet hat;</w:t>
      </w:r>
    </w:p>
    <w:p>
      <w:r>
        <w:t>dass sich die Beschwerde demnach als offensichtlich unzulässig erweist, weshalb im Verfahren nach Art. 108 Abs. 1 lit. a BGG auf sie nicht einzutreten ist;</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Handelsgericht des Kantons St. Gallen schriftlich mitgeteilt.</w:t>
      </w:r>
    </w:p>
    <w:p>
      <w:r>
        <w:t>Lausanne, 26. Mai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