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4A_136/2016 vom 3. November 2016</w:t>
      </w:r>
    </w:p>
    <w:p>
      <w:r>
        <w:t>Bundesgericht, 2016-11-03, FR</w:t>
      </w:r>
    </w:p>
    <w:p>
      <w:r>
        <w:rPr>
          <w:b/>
        </w:rPr>
        <w:t xml:space="preserve">Quelle: </w:t>
      </w:r>
      <w:r>
        <w:t>https://mcp.opencaselaw.ch/entscheid/bger_4A_136_2016</w:t>
      </w:r>
    </w:p>
    <w:p>
      <w:r>
        <w:t>FR: TF 4A_136/2016 du 3 novembre 2016</w:t>
      </w:r>
    </w:p>
    <w:p>
      <w:r>
        <w:t>IT: TF 4A_136/2016 del 3 novembre 2016</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le français, respectant ainsi l' art. 42 al. 1 LTF en liaison avec l' art. 70 al. 1 Cst. (arrêt 4A_386/2015 du 7 septembre 2016, destiné à la publication,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les recourantes ou encore des griefs soulevés dans le mémoire de recours, aucune de ces conditions de recevabilité ne fait problème en l'espèce. Rien ne s'oppose donc à l'entrée en matière.</w:t>
      </w:r>
    </w:p>
    <w:p>
      <w:r>
        <w:rPr>
          <w:b/>
        </w:rPr>
        <w:t>E. 3.1</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rPr>
          <w:b/>
        </w:rPr>
        <w:t>E. 3.2</w:t>
      </w:r>
    </w:p>
    <w:p>
      <w:r>
        <w:t>Sous nos 42 à 44 de leur mémoire, les recourantes allèguent diverses circonstances concernant, d'une part, le risque d'être poursuivies pénalement par le DOJ et/ou le SFO auquel elles s'exposeraient en exécutant leurs obligations pécuniaires résiduelles vis-à-vis de l'intimée et, d'autre part, le fait que cette dernière aurait signé, entre autres documents, deux "déclarations de compliance (sic) de X.________" à l'époque où elle leur avait envoyé ses dernières factures relatives aux contrats nos 1 et 2. Force est, toutefois, d'observer que, pour étayer ces allégations, elles ne se réfèrent qu'à des pièces versées au dossier de l'arbitrage et non pas à des constatations précises figurant dans la sentence attaquée, allant même jusqu'à reprocher aux arbitres de ne pas avoir tenu compte du second fait avancé par elles. Dès lors, la Cour de céans ne prendra pas en considération ces allégations-là, lesquelles sont incompatibles avec les principes jurisprudentiels précités.</w:t>
      </w:r>
    </w:p>
    <w:p>
      <w:r>
        <w:rPr>
          <w:b/>
        </w:rPr>
        <w:t>E. 4</w:t>
      </w:r>
    </w:p>
    <w:p>
      <w:r>
        <w:t>Dans un premier moyen, les recourantes font grief au Tribunal arbitral d'avoir rendu une sentence contraire à l'ordre public matériel au sens de l' art. 190 al. 2 let . e LDIP.</w:t>
      </w:r>
    </w:p>
    <w:p>
      <w:r>
        <w:rPr>
          <w:b/>
        </w:rPr>
        <w:t>E. 4.1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132 III 389 consid. 2.2.1).</w:t>
      </w:r>
    </w:p>
    <w:p>
      <w:r>
        <w:t>Les promesses de versement de pots-de-vin, d'après la conception juridique suisse, sont contraires aux moeurs et, partant, nulles en raison du vice affectant leur contenu. Selon un point de vue confirmé, elles contreviennent également à l'ordre public ( ATF 119 II 380 consid. 4b). Encore faut-il, pour que le grief correspondant puisse être admis, que la corruption soit établie, mais que le Tribunal arbitral ait refusé d'en tenir compte dans sa sentence (arrêt 4A_532 et 534/2014 du 29 janvier 2015 consid. 5.1; arrêt 4A_231/2014 du 23 septembre 2014 consid. 5.1 et les références).</w:t>
      </w:r>
    </w:p>
    <w:p>
      <w:r>
        <w:rPr>
          <w:b/>
        </w:rPr>
        <w:t>E. 4.2.1</w:t>
      </w:r>
    </w:p>
    <w:p>
      <w:r>
        <w:t>En l'espèce, le Tribunal arbitral, après avoir analysé les éléments probatoires que les recourantes lui avaient fournis afin d'étayer leur allégation implicite de corruption visant l'intimée, a estimé que cette allégation n'avait pas été prouvée (sentence, n. 277 à 280). Pareille conclusion découle d'une appréciation des preuves que la Cour de céans ne peut pas revoir (cf. consid. 3.1 ci-dessus); son bien-fondé est d'ailleurs confirmé par les recourantes, lesquelles précisent, sous n. 26 de leur réplique, "qu'elles ne prétendent pas avoir la preuve d'actes de corruption commis en relation avec les contrats litigieux". Dans ces conditions, il est exclu de reprocher au Tribunal arbitral d'avoir méconnu l'ordre public en ordonnant le paiement de commissions relatives à des contrats de conseil qui seraient frappés de nullité pour cause de corruption.</w:t>
      </w:r>
    </w:p>
    <w:p>
      <w:r>
        <w:rPr>
          <w:b/>
        </w:rPr>
        <w:t>E. 4.2.2</w:t>
      </w:r>
    </w:p>
    <w:p>
      <w:r>
        <w:t>A suivre les recourantes, l'incompatibilité de la sentence attaquée avec l'ordre public matériel résiderait plutôt dans le fait que le Tribunal arbitral leur a ordonné d'effectuer en faveur de l'intimée des paiements qui ne sont pas conformes aux "règles de compliance (sic) " de X.________ et qui les exposeraient, de ce fait, au risque de lourdes sanctions pénales (réplique, n. 27). Ces règles, ajoutent-elles, constituent la concrétisation, au niveau de l'entreprise et de ses cocontractants, des normes anticorruption reconnues internationalement d'intérêt public majeur et, partant, d'un objectif ayant un caractère d'ordre public au sens de l' art. 190 al. 2 let . e LDIP (réplique, n. 33).</w:t>
      </w:r>
    </w:p>
    <w:p>
      <w:r>
        <w:t>Comme l'intimée le souligne à juste titre (duplique, n. 16 à 21), les recourantes, en argumentant de la sorte, tentent d'élever au niveau normatif - autrement dit, à celui de la notion d'ordre public matériel que la jurisprudence du Tribunal fédéral a tirée de la disposition légale citée - des règles édictées par un sujet de droit privé et à laisser ainsi à un groupe de sociétés commerciales la faculté de définir cette notion-là. Effectivement, il n'est pas imaginable d'abandonner à un sujet de droit privé, n'ayant de surcroît pas son siège en Suisse, le soin de déterminer, pour reprendre la définition de la notion d'ordre public visée par l' art. 190 al. 2 let . e LDIP, les valeurs essentielles et largement reconnues qui, selon les conceptions prévalant en Suisse, devraient constituer le fondement de tout ordre juridique ( ATF 132 III 389 consid. 2.2.3).</w:t>
      </w:r>
    </w:p>
    <w:p>
      <w:r>
        <w:t>S'agissant de la disposition touchant la preuve des services fournis, que les parties ont insérée dans chacun des trois contrats litigieux et qui constitue l'une des règles en question, le Tribunal arbitral, interprétant le comportement adopté par les cocontractantes après la conclusion des contrats nos 1 et 2, en a déduit la volonté concordante des parties d'alléger la charge de la preuve imposée à l'intimée par cette disposition. Ce faisant, il a procédé à une interprétation subjective de la volonté des parties, dont il a tiré la conclusion que les intéressées s'étaient mises d'accord - par une interprétation réductrice de la disposition en cause, voire par une modification consensuelle de sa teneur - pour restreindre les formalités imposées à l'intimée quant à la preuve des services fournis par elle (sentence, n. 300 à 306). Puis il a constaté que l'intéressée avait satisfait à l'exigence de preuve ainsi réduite (sentence, n. 307). Or, l'interprétation subjective, fondée notamment sur l'attitude des parties après la conclusion du contrat, repose sur l'appréciation des preuves et relève du domaine des faits, si bien qu'elle lie le Tribunal fédéral ( ATF 142 III 239 consid. 5.2.1). Au demeurant, ressortirait-elle au droit que le Tribunal fédéral ne pourrait pas non plus la revoir dans le cadre de l'examen du grief fondé sur l' art. 190 al. 2 let . e LDIP. Dans ces conditions, le moyen pris de la violation de l'ordre public matériel tombe à faux.</w:t>
      </w:r>
    </w:p>
    <w:p>
      <w:r>
        <w:rPr>
          <w:b/>
        </w:rPr>
        <w:t>E. 5</w:t>
      </w:r>
    </w:p>
    <w:p>
      <w:r>
        <w:t>Dans un second moyen, les recourantes, invoquant l' art. 190 al. 2 let . d LDIP, reprochent au Tribunal arbitral d'avoir violé leur droit d'être entendues. Selon elles, les parties ne pouvaient pas s'attendre à ce que le Tribunal arbitral réduisît les exigences imposées à l'intimée, quant à la preuve des services fournis, par une interprétation subjective de leur volonté qui le conduirait à restreindre la portée de la clause topique des contrats nos 1 et 2, voire à en modifier le contenu. Elles le pouvaient d'autant moins, à les en croire, que, dans son ordonnance de procédure n. 18 du 28 mai 2015, le Tribunal arbitral les avait invitées à se déterminer sur deux questions précises de droit suisse n'ayant aucun rapport avec les "théories" appliquées par lui. Toujours selon les recourantes, l'effet de surprise aurait été accentué en l'espèce du fait que les parties, toutes étrangères à la Suisse, n'étaient pas représentées par des avocats suisses dans la procédure arbitrale.</w:t>
      </w:r>
    </w:p>
    <w:p>
      <w:r>
        <w:rPr>
          <w:b/>
        </w:rPr>
        <w:t>E. 5.1</w:t>
      </w:r>
    </w:p>
    <w:p>
      <w:r>
        <w:t>En Suisse, le droit d'être entendu se rapporte surtout à la constatation des faits. Le droit des parties d'être interpellées sur des questions juridiques n'est reconnu que de manière restreinte. En règle générale, selon l'adage</w:t>
      </w:r>
    </w:p>
    <w:p>
      <w:r>
        <w:t>jura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4A_202/2016 du 31 août 2016 consid. 3.1 et les arrêts cités).</w:t>
      </w:r>
    </w:p>
    <w:p>
      <w:r>
        <w:rPr>
          <w:b/>
        </w:rPr>
        <w:t>E. 5.2</w:t>
      </w:r>
    </w:p>
    <w:p>
      <w:r>
        <w:t>Considéré à la lumière de ces principes, le grief soulevé apparaît dénué de tout fondement.</w:t>
      </w:r>
    </w:p>
    <w:p>
      <w:r>
        <w:t>L'interprétation subjective constitue l'un des deux piliers sur lesquels repose l'interprétation des contrats en droit suisse (cf. art. 18 al. 1 CO ), le second étant l'interprétation objective ( ATF 142 III 239 consid. 5.2.1 et les arrêts cités). Il est, par ailleurs, admis de longue date que le comportement concordant adopté par les cocontractants postérieurement à la conclusion du contrat sert principalement à déterminer leur réelle et commune intention, en ce qu'il constitue une interprétation subséquente authentique du contrat faite par les signataires mêmes de celui-ci, mais qu'il peut aussi être assimilé, suivant les circonstances, à une modification subséquente concluante du contrat, voire, le cas échéant, à une annulation de ce dernier (cf., parmi d'autres: ERNEST A. KRAMER, in Commentaire bernois, Das Obligationenrecht, VI/1, 1986, n° 28 ad art. 18 CO et les références, auteur cité dans les notes de pied n. 250 et 253 de la sentence attaquée). Les recourantes ne sont donc pas crédibles lorsqu'elles plaident l'effet de surprise alors que l'un des principaux éléments du litige consistait à déterminer la portée de la clause des contrats relative à la preuve des services fournis par l'intimée en sa qualité de consultant. Peu importe, à cet égard, que le Tribunal arbitral ait invité les parties à répondre à deux questions spécifiques de droit suisse sans rapport avec cette problématique. A plus forte raison, l'argument tiré de la nationalité étrangère des conseils mandatés par les recourantes n'est-il pas recevable: d'une part, et d'une manière générale, l'application du principe rendu par l'adage</w:t>
      </w:r>
    </w:p>
    <w:p>
      <w:r>
        <w:t>jura novit curia et les exceptions que souffre ce principe ne peuvent pas dépendre de la nationalité des avocats des parties; d'autre part et qui plus est, s'agissant en l'espèce de contrats que les parties avaient soumis au droit suisse, le choix de renoncer à l'assistance de conseils suisses, si tant est que tel ait bien été le cas, pouvait comporter des risques dans ces circonstances.</w:t>
      </w:r>
    </w:p>
    <w:p>
      <w:r>
        <w:t>Cela étant, le présent recours ne peut qu'être rejeté dans la mesure de sa recevabilité.</w:t>
      </w:r>
    </w:p>
    <w:p>
      <w:r>
        <w:rPr>
          <w:b/>
        </w:rPr>
        <w:t>E. 6</w:t>
      </w:r>
    </w:p>
    <w:p>
      <w:r>
        <w:t>Les recourantes, qui succombent, devront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