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4A_136/2012 vom 18. Juli 2012</w:t>
      </w:r>
    </w:p>
    <w:p>
      <w:r>
        <w:t>Bundesgericht, 2012-07-18, FR</w:t>
      </w:r>
    </w:p>
    <w:p>
      <w:r>
        <w:rPr>
          <w:b/>
        </w:rPr>
        <w:t xml:space="preserve">Quelle: </w:t>
      </w:r>
      <w:r>
        <w:t>https://mcp.opencaselaw.ch/entscheid/bger_4A_136_2012</w:t>
      </w:r>
    </w:p>
    <w:p>
      <w:r>
        <w:t>FR: TF 4A_136/2012 du 18 juillet 2012</w:t>
      </w:r>
    </w:p>
    <w:p>
      <w:r>
        <w:t>IT: TF 4A_136/2012 del 18 luglio 2012</w:t>
      </w:r>
    </w:p>
    <w:p>
      <w:pPr>
        <w:pStyle w:val="Heading2"/>
      </w:pPr>
      <w:r>
        <w:t>Erwägungen</w:t>
      </w:r>
    </w:p>
    <w:p>
      <w:r>
        <w:rPr>
          <w:b/>
        </w:rPr>
        <w:t>E. 1.1</w:t>
      </w:r>
    </w:p>
    <w:p>
      <w:r>
        <w:t>Interjeté par la partie demanderesse qui a entièrement succombé dans ses conclusions en paiement et qui a ainsi la qualité pour recourir ( art. 76 al. 1 LTF ), le recours en matière civile est dirigé contre un arrêt final ( art. 90 LTF ) rendu en matière civile ( art. 72 al. 1 LTF ) par la Cour civile du Tribunal cantonal jurassien ayant statué dans une composition entièrement différente par rapport à la décision qu'elle a rendu en première instance selon l´arrêt du 27 avril 2011; il en découle que cette section de la Cour civile a acquis rang de cour d'appel, ce qui permet de l'assimiler à une autorité de dernière instance se prononçant sur recours ( art. 75 LTF ). Le présent recours, formé dans une affaire pécuniaire dont la valeur litigieuse atteint le seuil de 30'000 fr. de l' art. 74 al. 1 let. b LTF , est au demeurant par principe recevable, puisqu'il a été déposé dans le délai ( art. 100 al. 1 LTF ) et la forme ( art. 42 LTF ) prévus par la loi.</w:t>
      </w:r>
    </w:p>
    <w:p>
      <w:r>
        <w:rPr>
          <w:b/>
        </w:rPr>
        <w:t>E. 1.2</w:t>
      </w:r>
    </w:p>
    <w:p>
      <w:r>
        <w:t>Le recours en matière civile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 ATF 134 III 379 consid. 1.3 p. 383 et l'arrêt cité). Tel est le cas en l'espèce, puisque, si la juridiction fédérale admettait que la prescription de l'action de la demanderesse n'est pas acquise, elle ne pourrait pas statuer sur les conclusions en paiement de celle-ci, étant donné que la cour cantonale n'a pas administré de preuves en relation avec les postes de dommage invoqués et ne s'est conséquemment pas prononcée sur l'existence et la quotité du préjudice. Les conclusions cassatoires de la recourante sont donc exceptionnellement admissibles.</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Tout au long de son recours, la recourante invoque, entre autres griefs, l'arbitraire dans l'établissement des faits. Mais elle ne démontre nullement avec la précision requise (cf. art. 106 al. 2 LTF ) en quoi la cour cantonale aurait sombré dans l'arbitraire en dressant l'état de fait de l'arrêt critiqué. Il appert en réalité que la recourante discute l'appréciation juridique des faits retenus, ce qui n'est pas la même chose. Partant, le raisonnement juridique doit être conduit sur la base des constatations contenues dans l'arrêt déféré.</w:t>
      </w:r>
    </w:p>
    <w:p>
      <w:r>
        <w:rPr>
          <w:b/>
        </w:rPr>
        <w:t>E. 1.5</w:t>
      </w:r>
    </w:p>
    <w:p>
      <w:r>
        <w:t>Le Tribunal fédéral ne peut aller au-delà des conclusions des parties ( art. 107 al. 1 LTF ). Toute conclusion nouvelle est irrecevable ( art. 99 al. 2 LTF ).</w:t>
      </w:r>
    </w:p>
    <w:p>
      <w:r>
        <w:rPr>
          <w:b/>
        </w:rPr>
        <w:t>E. 2</w:t>
      </w:r>
    </w:p>
    <w:p>
      <w:r>
        <w:t>La présente cause présente un aspect international puisque la demanderesse est domiciliée en France ( ATF 131 III 76 consid. 2). Saisi d'un recours en matière civile, le Tribunal fédéral doit contrôler d'office la question du droit applicable, laquelle se résout selon la loi du for, soit en l'occurrence la loi fédérale sur le droit international privé du 18 décembre 1987 (LDIP; ATF 137 III 481 consid. 2.1)</w:t>
      </w:r>
    </w:p>
    <w:p>
      <w:r>
        <w:t>En vertu de l' art. 134 LDIP , norme qui renvoie à l'art. 3 de la Convention de La Haye du 4 mai 1971 sur la loi applicable en matière d'accident de la circulation routière (RS 0.741.31), le droit interne suisse est applicable en l'espèce, en tant que loi du lieu des accidents. En effet, les deux premiers accidents subis par la recourante - dont les parties reconnaissent qu'ils ont entraîné le préjudice dont elle requiert réparation - sont survenus dans le canton du Jura.</w:t>
      </w:r>
    </w:p>
    <w:p>
      <w:r>
        <w:rPr>
          <w:b/>
        </w:rPr>
        <w:t>E. 3</w:t>
      </w:r>
    </w:p>
    <w:p>
      <w:r>
        <w:t>Dans l'arrêt déféré, l'autorité cantonale a rappelé que la demanderesse exerce une action en dommages-intérêts fondée sur les art. 58 ss LCR , laquelle est soumise au délai de prescription de deux ans prévu par l' art. 83 al. 1 LCR qui court du jour où le lésé a eu connaissance du dommage et de la personne qui en est responsable. Elle a considéré que les indications figurant dans le rapport du Dr A.________, du 28 septembre 2004, concernant le taux d'invalidité étaient suffisantes pour admettre que la recourante avait connaissance de son dommage au moment où celles-ci lui ont été communiquées et qu'elle était alors parfaitement en mesure d'apprécier les éléments qu'elle fait désormais valoir dans sa demande. Il n'était pas nécessaire que le dommage fût arrêté de manière définitive à ce moment-là puisqu'il suffisait que son état médical soit stabilisé et que le degré d'incapacité de travail résiduel ait été déterminé au moins approximativement. De par son attitude ultérieure, la lésée a de toute manière reconnu qu'elle avait acquis à fin septembre 2004 les informations essentielles pour fonder son action en dommages-intérêts. Les magistrats jurassiens se réfèrent à cet égard à l'entretien avec la SUVA du 26 janvier 2005, lors duquel le conseil de la demanderesse a annoncé son intention d'introduire des procédures civiles à l'encontre des responsables des deux premiers accidents. De plus, dans son courrier du 1er septembre 2005 adressé à la SUVA, ledit conseil a confirmé revendiquer pour sa cliente une invalidité durable et permanente de 20%. Pour la cour cantonale, le délai de prescription de deux ans a ainsi commencé à courir à fin septembre 2004, époque où la recourante avait acquis une connaissance suffisante de son dommage total, y compris la partie couverte par les assurances sociales. La prescription était donc acquise le 19 novembre 2007, jour du dépôt de la requête de citation en conciliation.</w:t>
      </w:r>
    </w:p>
    <w:p>
      <w:r>
        <w:t>La recourante reproche à la cour cantonale d'avoir violé les art. 60 al. 1 CO et 83 al. 1 LCR pour avoir admis qu'au reçu du rapport du Dr A.________, du 28 septembre 2004, elle avait des éléments suffisants pour décider de l'introduction d'une action en dommages-intérêts contre l'intimée. Elle soutient que la connaissance effective de son dommage coïncide avec la notification du rapport d'expertise du Dr B.________. Elle en déduit que le dies a quo du délai de prescription de son action correspondait au 19 novembre 2005, de sorte que sa requête de citation en conciliation, introduite, le 19 novembre 2007, a interrompu le délai de prescription.</w:t>
      </w:r>
    </w:p>
    <w:p>
      <w:r>
        <w:rPr>
          <w:b/>
        </w:rPr>
        <w:t>E. 4.1</w:t>
      </w:r>
    </w:p>
    <w:p>
      <w:r>
        <w:t>Selon l'état de fait qui lie le Tribunal fédéral ( art. 105 al. 1 LTF ), la recourante a subi des lésions corporelles à la suite de l'accident de la circulation routière du 1er novembre 1998, qui a été provoqué par un détenteur dont l'intimée couvrait la responsabilité civile.</w:t>
      </w:r>
    </w:p>
    <w:p>
      <w:r>
        <w:t>D'après l' art. 58 al. 1 LCR , si une personne est tuée ou blessée ou qu'un dommage matériel est causé par suite de l'emploi d'un véhicule automobile, le détenteur est civilement responsable. Le détenteur a l'obligation de conclure une assurance contre le risque de la responsabilité civile ( art. 63 al. 1 LCR ). Dans la limite des montants prévus par le contrat d'assurance, le lésé peut intenter une action directe contre l'assureur ( art. 65 al. 1 LCR ), de sorte qu'il est habilité à faire valoir directement à son encontre la créance qu'il pourrait avoir à l'endroit du détenteur.</w:t>
      </w:r>
    </w:p>
    <w:p>
      <w:r>
        <w:t>Il est constant que l'accident du 1er novembre 1998 a été causé par l'emploi d'un véhicule automobile et que la recourante, qui a subi des lésions corporelles, est en droit de réclamer réparation de son dommage ainsi que le versement d'une indemnité pour tort moral en s'adressant directement à l'assureur (i.e. l'intimée).</w:t>
      </w:r>
    </w:p>
    <w:p>
      <w:r>
        <w:rPr>
          <w:b/>
        </w:rPr>
        <w:t>E. 4.2</w:t>
      </w:r>
    </w:p>
    <w:p>
      <w:r>
        <w:t>D'après l' art. 83 al. 1 LCR , les actions en dommages-intérêts et en réparation du tort moral qui découlent d'accidents causés par des véhicules automobiles se prescrivent par deux ans à partir du jour où le lésé a eu connaissance du dommage et de la personne qui en est responsable, mais en tout cas par dix ans dès le jour de l'accident. La connaissance du dommage est une notion figurant notamment à l' art. 60 al. 1 CO , de sorte que l'on peut se référer à la jurisprudence rendue en rapport avec cette disposition (arrêt 4A_647/2010 du 4 avril 2011 consid. 3.1).</w:t>
      </w:r>
    </w:p>
    <w:p>
      <w:r>
        <w:t>Le lésé connaît suffisamment le dommage lorsqu'il apprend, relativement à son existence, sa nature et ses éléments, les circonstances propres à fonder et à motiver une demande en justice ( ATF 131 III 61 consid. 3.1.1 p. 68; arrêt du Tribunal fédéral 4A_576/2010 du 7 juin 2011, non publié in ATF 137 III 352 ; cf. également ATF 136 III 322 consid. 4.1 p. 330). Le lésé n'est pas admis à différer sa demande jusqu'au moment où il connaît le montant absolument exact de son préjudice, car le dommage peut devoir être estimé selon l' art. 42 al. 2 CO ( ATF 131 III 61 consid. 3.1.1 p. 68; 111 II 55 consid. 3a p. 57 s.). Le dommage est tenu pour suffisamment défini lorsque le lésé détient assez d'éléments pour être en mesure de l'apprécier ( ATF 111 II 55 consid. 3a p. 57; 109 II 433 consid. 2 p. 434). En considération de la relative brièveté du délai de prescription entrant en considération, la notion de « connaissance du dommage » doit être interprétée strictement (ROLAND BREHM, Berner Kommentar, 3e éd. 2006, n° 22 ad art. 60 CO ; cf. ATF 111 II 55 consid. 3a p. 57).</w:t>
      </w:r>
    </w:p>
    <w:p>
      <w:r>
        <w:t>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consid. 4 p. 123; 108 Ib 97 consid. 1c p. 100).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du Tribunal fédéral 4A_289/2008 du 1er octobre 2008 consid. 4, non publié in ATF 134 III 591 ; arrêt 4A_647/2010 déjà cité, consid. 3.1). Lorsque le lésé est si sévèrement atteint qu'une rente de l'assurance-invalidité doit lui être allouée, la décision de rente offre souvent l'information nécessaire à la connaissance du dommage (BREHM, op. cit., n° 43 ad art. 60 CO ). Mais la communication de la décision de l'assureur social ne constitue pas systématiquement le point de départ du délai de prescription relatif. En effet, l'issue de la procédure conduite par l'AI ou la SUVA n'est pas en soi déterminante pour la connaissance du dommage, car la rente d'invalidité ne réduit pas le dommage subi par un assuré, mais le couvre, du moins partiellement (arrêts 4A_647/2010 du 4 avril 2011 consid. 3.1 et 2C.1/1999 du 12 septembre 2000 consid. 3c).</w:t>
      </w:r>
    </w:p>
    <w:p>
      <w:r>
        <w:t>Pour le surplus, le délai de prescription part du moment où le lésé a effectivement connaissance du dommage, et non de celui où il aurait pu découvrir l'importance de sa créance en faisant preuve de l'attention commandée par les circonstances ( ATF 136 III 322 consid. 4.1 p. 330; 111 II 55 consid. 3a p. 58 s.).</w:t>
      </w:r>
    </w:p>
    <w:p>
      <w:r>
        <w:rPr>
          <w:b/>
        </w:rPr>
        <w:t>E. 4.3</w:t>
      </w:r>
    </w:p>
    <w:p>
      <w:r>
        <w:t>La cour cantonale a fixé le moment de la connaissance du dommage à fin septembre 2004, moment où la recourante a reçu une copie du rapport du Dr A.________.</w:t>
      </w:r>
    </w:p>
    <w:p>
      <w:r>
        <w:t>Dans son rapport du 28 septembre 2004, ce praticien a déterminé que l'état de santé de la recourante, laquelle souffre de cervicalgies chroniques, est dû à raison de 60% au premier accident dont elle a été victime et à raison de 40% au deuxième accident qu'elle a subi.</w:t>
      </w:r>
    </w:p>
    <w:p>
      <w:r>
        <w:t>Il appert ainsi que dès qu'elle a reçu ce document, la recourante savait que l'intimée était responsable à raison de 60% du préjudice qu'elle invoque maintenant.</w:t>
      </w:r>
    </w:p>
    <w:p>
      <w:r>
        <w:t>S'agissant de la poursuite future de l'activité professionnelle de la lésée, qui travaille comme employée de commerce, le Dr A.________ a relevé dans son rapport que celle-ci avait spontanément réduit son taux d'activité à 80% à partir de janvier 2004, ajoutant qu'il ne pouvait affirmer avec certitude qu'elle pourra à l'avenir poursuivre à ce taux son emploi. On doit déduire des termes utilisés par le médecin qu'il a reconnu que la recourante présentait à compter de janvier 2004 un degré d'invalidité permanente d'au moins 20%, dès l'instant où il a affirmé qu'il n'était pas possible de prévoir qu'elle puisse maintenir à l'avenir une activité professionnelle à 80%.</w:t>
      </w:r>
    </w:p>
    <w:p>
      <w:r>
        <w:t>Dans le pli qu'il a envoyé à la SUVA le 1er septembre 2005, le mandataire de la recourante a annoncé revendiquer pour sa mandante « une invalidité durable et permanente de 20% ». Cet avocat, en écrivant cette phrase, a manifesté qu'il avait compris que le taux d'incapacité entrant en ligne de compte dans le calcul du dommage de la recourante - imputable à raison de 60% à l'intimée - se montait à 20%. Or la connaissance par le représentant de ce taux d'incapacité de travail doit être attribuée à la représentée (cf. arrêt 4C. 296/1995 du 26 mars 1996 consid. 6a, in SJ 1996 p. 554 s).</w:t>
      </w:r>
    </w:p>
    <w:p>
      <w:r>
        <w:t>Partant, dans ces circonstances, il sied d'admettre que la recourante connaissait en tout cas le 1er septembre 2005 tant le dommage dont elle entendait obtenir réparation que la personne qui en était responsable (cf. art. 83 al. 1 LCR ) et qu'elle disposait alors des informations suffisantes sur l'étendue du préjudice pour agir en justice.</w:t>
      </w:r>
    </w:p>
    <w:p>
      <w:r>
        <w:t>Il a été retenu ( art. 105 al. 1 LTF ) que la demande en conciliation a été déposée le 19 novembre 2007 et qu'aucun acte interruptif n'est survenu préalablement. Le délai relatif de prescription de deux ans instauré par l' art. 83 al. 1 LCR était ainsi dépassé à cette date.</w:t>
      </w:r>
    </w:p>
    <w:p>
      <w:r>
        <w:t>Le moyen tiré de la violation de la norme précitée se révèle infondé.</w:t>
      </w:r>
    </w:p>
    <w:p>
      <w:r>
        <w:rPr>
          <w:b/>
        </w:rPr>
        <w:t>E. 5</w:t>
      </w:r>
    </w:p>
    <w:p>
      <w:r>
        <w:t>En définitive, le recours doit être rejeté.</w:t>
      </w:r>
    </w:p>
    <w:p>
      <w:r>
        <w:t>Les frais judiciaires et les dépens de l'instance fédérale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