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136/2007 vom 15. August 2007</w:t>
      </w:r>
    </w:p>
    <w:p>
      <w:r>
        <w:t>Bundesgericht, 2007-08-15, FR</w:t>
      </w:r>
    </w:p>
    <w:p>
      <w:r>
        <w:rPr>
          <w:b/>
        </w:rPr>
        <w:t xml:space="preserve">Quelle: </w:t>
      </w:r>
      <w:r>
        <w:t>https://mcp.opencaselaw.ch/entscheid/bger_4A_136_2007</w:t>
      </w:r>
    </w:p>
    <w:p>
      <w:r>
        <w:t>FR: TF 4A 136/2007 du 15 août 2007</w:t>
      </w:r>
    </w:p>
    <w:p>
      <w:r>
        <w:t>IT: TF 4A 136/2007 del 15 agosto 2007</w:t>
      </w:r>
    </w:p>
    <w:p>
      <w:pPr>
        <w:pStyle w:val="Heading2"/>
      </w:pPr>
      <w:r>
        <w:t>Regeste</w:t>
      </w:r>
    </w:p>
    <w:p>
      <w:r>
        <w:t>protection des marques | Propriété intellectuelle, concurrence et cartels</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2.1</w:t>
      </w:r>
    </w:p>
    <w:p>
      <w:r>
        <w:t>Exercé par le recourant, qui a succombé, et dirigé contre un arrêt final ( art. 90 LTF ) rendu en matière civile ( art. 72 al. 1 LTF ) en instance cantonale unique par une autorité cantonale de dernière instance ( art. 75 al. 2 let. a LTF , 58 al. 3 de la loi fédérale sur la protection des marques et des indications de provenance du 28 août 1992 [LPM; RS 232.11], 37 de la loi fédérale sur la protection des designs du 5 octobre 2001 [Loi sur les designs, LDes; RS 232.12] et 31 al. 1 let. b ch. 2 de la loi genevoise d'organisation judiciaire du 22 novembre 1941 [LOJ/GE; RSG E 2 05]), le présent recours est recevable sans égard à la valeur litigieuse (art. 74 al. 2 let. b. LTF; cf. arrêt 4A_68/2007 du 4 juin 2007, destiné à la publication aux ATF, consid. 2.2.2.2). Il a par ailleurs été déposé dans le délai, compte tenu des féries (art. 45 al. 1, 46 al. 1 let. a et 100 al. 1 LTF), et la forme ( art. 42 LTF ) prévus par la loi, de sorte qu'il y a lieu d'entrer en matière.</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 ci-après: Message -, FF 2001 p. 4000 ss, spéc. p. 4135).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En instance cantonale, le recourant avait conclu à titre reconventionnel à ce qu'il soit constaté que les designs nos 1 et 2 de l'intimée étaient nuls faute d'être nouveaux et originaux, au motif qu'ils ne se distinguaient pas d'un design qu'il avait lui-même déposé en 2000 déjà pour des montres commercialisées dès 1999. L'autorité cantonale a rejeté cette conclusion. Le recourant ne la reprend pas dans son recours ni n'en discute le rejet dans les motifs. Ce point est donc définitivement tranché et n'est partant plus litigieux. Pour sa part, l'intimée avait conclu à ce que la nullité de la marque n° B soit constatée. L'autorité cantonale a également rejeté cette conclusion, constatant dans les attendus de l'arrêt que la marque est valable. L'intimée n'a pas déposé de recours, bien que nonobstant l'admission de sa conclusion subsidiaire, elle avait qualité pour recourir dès lors qu'elle avait un intérêt juridique à contester le rejet de sa conclusion principale. Par contre, dans sa réponse au recours, elle conteste le bien-fondé de la décision admettant la validité de la marque. A défaut de recours joint, que la LTF ne connaît pas (cf. Message, FF 2001 p. 4139), cette critique est toutefois tardive. En outre, le Tribunal fédéral ne peut pas aller au-delà des conclusions des parties ( art. 107 al. 1 LTF ). En l'espèce, il n'est saisi d'aucune conclusion en constatation de la nullité de la marque n° B. Sur ce point, le prononcé de l'autorité cantonale est donc également définitif. En conséquence, le seul point encore litigieux est celui de la violation par l'intimée des droits du recourant découlant de la marque n° B.</w:t>
      </w:r>
    </w:p>
    <w:p>
      <w:r>
        <w:rPr>
          <w:b/>
        </w:rPr>
        <w:t>E. 4</w:t>
      </w:r>
    </w:p>
    <w:p>
      <w:r>
        <w:t>Le recourant reproche à l'autorité cantonale de s'être arbitrairement fondée sur des pièces produites par l'intimée pour apprécier une pure question de droit. Il s'agit de diverses attestations portant sur l'originalité des designs de l'intimée. Il se plaint ainsi d'une violation de l'interdiction constitutionnelle de l'arbitraire ( art. 9 Cst. ). Les pièces en question se rapportent, comme le recourant le relève lui-même, à la nouveauté et originalité des designs nos 1 et 2. L'intimée a produit ces pièces en réponse à la demande reconventionnelle par laquelle le recourant avait conclu à la constatation de la nullité des designs. La validité des designs n'est toutefois plus litigieuse, pas plus que celle de la marque du recourant. La critique est dès lors sans objet. Le recourant relève en passant le fait que l'intimée a déposé une pièce avec son dernier mémoire, parce qu'elle savait qu'il l'aurait contestée dans sa propre écriture si elle l'avait produite plus tôt. Ce faisant, le recourant ne soutient pas ne pas avoir eu la possibilité de se déterminer sur cette pièce, ce qu'il aurait notamment pu faire en audience. Quoi qu'il en soit, le recourant ne se plaint pas d'une violation de son droit d'être entendu ( art. 29 al. 2 Cst. ). Or, le Tribunal fédéral peut uniquement se saisir de griefs constitutionnels expressément invoqués et motivés ( art. 106 al. 2 LTF ; cf. consid. 2.2). Il n'y a donc pas à entrer en matière sur cette remarque du recourant.</w:t>
      </w:r>
    </w:p>
    <w:p>
      <w:r>
        <w:rPr>
          <w:b/>
        </w:rPr>
        <w:t>E. 5</w:t>
      </w:r>
    </w:p>
    <w:p>
      <w:r>
        <w:t>Le droit à la marque confère au titulaire le droit exclusif de faire usage de la marque pour distinguer les produits ou les services enregistrés ( art. 13 al. 1 LPM ). Le titulaire peut interdire à des tiers l'usage des signes dont la protection est exclue en vertu de l' art. 3 al. 1 LPM ( art. 13 al. 2 LPM ; ATF 128 III 146 consid. 2b), soit notamment les signes similaires à une marque antérieure et destinés à des produits ou services identiques ou similaires, lorsqu'il en résulte un risque de confusion ( art. 3 al. 1 let . c LPM). De son côté, le droit sur un design confère à son titulaire le droit d'interdire à des tiers d'utiliser le design à des fins industrielles ( art. 9 al. 1 LDes ) et donc le droit exclusif de l'exploiter industriellement (cf. Troller, Précis du droit suisse des biens immatériels, 2e éd., Bâle 2006, p. 337; von Büren/Marbach, Immaterialgüter- und Wettbewerbsrecht, 2e éd., Berne 2002, n. 471 p. 94). En l'espèce, le dépôt du design n° 1 de l'intimée a été effectué le 3 avril 2002 (cf. art. 19 LDes ) et le dépôt de la marque n° B du recourant le 21 juin 2002 (cf. art. 29 LPM ). Le dépôt de la marque étant postérieur au dépôt du design, dont la validité n'est plus contestée, le recourant ne saurait se fonder sur son droit à la marque pour interdire à l'intimée d'utiliser la forme du design. Les conclusions du recourant tendent à interdire à l'intimée d'utiliser toute forme représentant deux cercles qui se chevauchent partiellement et qui ont des protubérances intégrant des vis. Or, cette forme correspond au design n° 1. Les conclusions, telles que formulées, ne peuvent qu'être rejetées. Le recourant n'a pas pris de conclusions plus spécifiques, par exemple relatives à un ou des modèles déterminés de montres de l'intimée. Une telle spécification ne se trouve pas non plus dans les motifs du recours. Il n'y a donc pas à examiner plus précisément quelles formes précises, conformes à la marque du recourant, sont couvertes par le design de l'intimée et lesquelles ne le sont pas.</w:t>
      </w:r>
    </w:p>
    <w:p>
      <w:r>
        <w:rPr>
          <w:b/>
        </w:rPr>
        <w:t>E. 6</w:t>
      </w:r>
    </w:p>
    <w:p>
      <w:r>
        <w:t>Compte tenu de l'issue du litige,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