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4A_134/2024 vom 28. Juni 2024</w:t>
      </w:r>
    </w:p>
    <w:p>
      <w:r>
        <w:t>Bundesgericht, 2024-06-28, DE</w:t>
      </w:r>
    </w:p>
    <w:p>
      <w:r>
        <w:rPr>
          <w:b/>
        </w:rPr>
        <w:t xml:space="preserve">Quelle: </w:t>
      </w:r>
      <w:r>
        <w:t>https://mcp.opencaselaw.ch/entscheid/bger_4A_134_2024</w:t>
      </w:r>
    </w:p>
    <w:p>
      <w:r>
        <w:t>FR: TF 4A_134/2024 du 28 juin 2024</w:t>
      </w:r>
    </w:p>
    <w:p>
      <w:r>
        <w:t>IT: TF 4A_134/2024 del 28 giugno 2024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mithin in Deutsch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t>Nach Art. 77 Abs. 1 BGG ist die Beschwerde in Zivilsachen gegen Entscheide von Schiedsgerichten ungeachtet des Streitwerts zulässig.</w:t>
      </w:r>
    </w:p>
    <w:p>
      <w:r>
        <w:t>Die weiteren Eintretensvoraussetzungen geben zu keinen Bemerkungen Anlass. Auf die Beschwerde ist einzutreten, unter Vorbehalt einer hinreichenden Begründung ( Art. 77 Abs. 3 BGG ; vgl. E. 2.2 und 2.3).</w:t>
      </w:r>
    </w:p>
    <w:p>
      <w:r>
        <w:rPr>
          <w:b/>
        </w:rPr>
        <w:t>E. 2.2</w:t>
      </w:r>
    </w:p>
    <w:p>
      <w:r>
        <w:t>Zulässig sind allein die Rügen, die in Art. 190 Abs. 2 IPRG abschliessend aufgezählt sind ( BGE 134 III 186 E. 5; 128 III 50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t>Das qualifizierte Rügeprinzip wird ergänzt durch erhöhte Begründungsanforderungen. So genügt es nicht, zwar einen zulässigen Beschwerdegrund nach Art. 190 Abs. 2 IPRG anzurufen, zu dessen Begründung indessen appellatorische Kritik anzubringen oder den Schiedsspruch unter dem Deckmantel einer erhobenen Rüge freier materieller Beanstandung zu unterziehen. Das ist unzulässig ( BGE 134 III 565 E. 3.1). Vielmehr muss die Partei durch eine präzise Argumentation, ausgehend vom angefochtenen Schiedsentscheid, aufzeigen, inwiefern der angerufene Beschwerdegrund gegeben ist und die Gutheissung der Beschwerde deswegen gerechtfertigt sein soll (Urteil 4A_244/2023 vom 3. April 2024 E. 4.1, zur Publ. bestimmt).</w:t>
      </w:r>
    </w:p>
    <w:p>
      <w:r>
        <w:rPr>
          <w:b/>
        </w:rPr>
        <w:t>E. 2.3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diesbezüglich zulässige Rügen im Sinne von Art. 190 Abs. 2 IPRG vorgebracht oder ausnahmsweise Noven ( Art. 99 BGG ) berücksichtigt werden ( BGE 144 III 559 E. 4.1; 140 III 477 E. 3.1).</w:t>
      </w:r>
    </w:p>
    <w:p>
      <w:r>
        <w:t>Art. 99 Abs. 1 BGG , der auch in Verfahren der internationalen Schiedsgerichtsbarkeit zu beachten ist ( Art. 77 Abs. 2 BGG</w:t>
      </w:r>
    </w:p>
    <w:p>
      <w:r>
        <w:t>e contrario ), verbietet grundsätzlich das Vorbringen neuer Tatsachen und Beweise vor Bundesgericht. Das Novenverbot bezieht sich auf den Sachverhalt ( BGE 150 III 89 E. 3.1; 134 V 208 E. 3.6.1).</w:t>
      </w:r>
    </w:p>
    <w:p>
      <w:r>
        <w:rPr>
          <w:b/>
        </w:rPr>
        <w:t>E. 2.4</w:t>
      </w:r>
    </w:p>
    <w:p>
      <w:r>
        <w:t>Der Beschwerdeführer verkennt diese Grundsätze, wenn er seinen rechtlichen Vorbringen eine ausführliche Sachverhaltsdarstellung voranstellt und dabei neue Tatsachen und Beweise vorbringt (insbesondere WhatsApp-Chatverläufe), die in den tatsächlichen Feststellungen im angefochtenen Schiedsentscheid keine Stütze finden, ohne substanziiert Ausnahmen von der Sachverhaltsbindung vorzutragen. Auch in seiner weiteren Beschwerdebegründung unterbreitet der Beschwerdeführer dem Bundesgericht teilweise in frei gehaltener Darstellung seine Sicht der Dinge, ohne die gesetzlichen Begründungsanforderungen zu erfüllen. Die entsprechenden Ausführungen haben unbeachtet zu bleiben.</w:t>
      </w:r>
    </w:p>
    <w:p>
      <w:r>
        <w:rPr>
          <w:b/>
        </w:rPr>
        <w:t>E. 3</w:t>
      </w:r>
    </w:p>
    <w:p>
      <w:r>
        <w:t>Die Beschwerdeführerin wirft dem Einzelschiedsrichter eine Verletzung des materiellen Ordre public ( Art. 190 Abs. 2 lit. e IPRG ) vor.</w:t>
      </w:r>
    </w:p>
    <w:p>
      <w:r>
        <w:rPr>
          <w:b/>
        </w:rPr>
        <w:t>E. 3.1</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Zu diesen Grundsätzen gehören die Vertragstreue (</w:t>
      </w:r>
    </w:p>
    <w:p>
      <w:r>
        <w:t>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 BGE 144 III 120 E. 5.1; 138 III 322 E. 4.1; je mit Hinweisen).</w:t>
      </w:r>
    </w:p>
    <w:p>
      <w:r>
        <w:t>Zur Aufhebung des angefochtenen Schiedsentscheids kommt es nur, wenn dieser nicht nur in der Begründung, sondern auch im Ergebnis dem Ordre public widerspricht ( BGE 144 III 120 E. 5.1; 138 III 322 E. 4.1 und E. 4.3.1/4.3.2; je mit Hinweisen).</w:t>
      </w:r>
    </w:p>
    <w:p>
      <w:r>
        <w:rPr>
          <w:b/>
        </w:rPr>
        <w:t>E. 3.2</w:t>
      </w:r>
    </w:p>
    <w:p>
      <w:r>
        <w:t>Der Beschwerdeführer erblickt die Verletzung des materiellen Ordre public darin, dass der Einzelschiedsrichter das Verhalten des Spielers nicht als rechtsmissbräuchlich (</w:t>
      </w:r>
    </w:p>
    <w:p>
      <w:r>
        <w:t>venire contra factum proprium ) anerkannt habe.</w:t>
      </w:r>
    </w:p>
    <w:p>
      <w:r>
        <w:t>Er legt dar, dass der Beschwerdegegner ein sehr grosses Interesse am Zustandekommen des Transfers zum neuen Klub gehabt und sich daher im Schreiben vom 2. Februar 2022 bereit erklärt habe, die Differenz von EUR 200'000.-- zur vom neuen Klub akzeptierten Transfersumme von EUR 1.8 Mio. und der vom Beschwerdeführer geforderten EUR 2 Mio. selber zu bezahlen. Dabei sei er rechtlich beraten gewesen. Darauf habe der Beschwerdeführer vertrauen dürfen. Ohne dieses Angebot wäre der Beschwerdeführer mit dem Transfer nicht einverstanden gewesen. Der Beschwerdeführer stellt sodann in Abrede, dass die Auflösungsvereinbarung gegen zwingendes Recht verstosse und daher nichtig sei. Sog. Buy-out Klauseln seien in Arbeitsverträgen von Spielern weit verbreitet und zulässig. Sie seien im Interesse beider Parteien. Der Beschwerdegegner habe zudem mit seinem Verhalten nach Abschluss der Auflösungsvereinbarung (insb. Vorschlag für neuen Zahlplan, Teilzahlungen) mehrmals bestätigt, dass er die Vereinbarung als gültig ansehe. Mit der nachträglichen Berufung auf Nichtigkeit verhalte er sich widersprüchlich.</w:t>
      </w:r>
    </w:p>
    <w:p>
      <w:r>
        <w:rPr>
          <w:b/>
        </w:rPr>
        <w:t>E. 3.3</w:t>
      </w:r>
    </w:p>
    <w:p>
      <w:r>
        <w:t>Mit diesen Ausführungen trägt der Beschwerdeführer dem Bundesgericht in appellatorischer Weise seine eigene Sicht der Dinge vor, wobei er diese teilweise mit neuen Tatsachenvorbringen untermauert. Er zeigt aber nicht anhand der Erwägungen des Einzelschiedsrichters auf, weshalb dessen gegenteilige Beurteilung Ordre public-widrig sein soll. Er verkennt, dass das Bundesgericht keine freie Überprüfung der materiellrechtlichen Beurteilung des Einzelschiedsrichters vornimmt, so wenn er auf seinem Standpunkt beharrt, die Aufhebungsvereinbarung sei nicht nichtig. Darauf ist nicht einzugehen.</w:t>
      </w:r>
    </w:p>
    <w:p>
      <w:r>
        <w:t>Nach der bundesgerichtlichen Rechtsprechung kann sich der Arbeitgeber nur bei Vorliegen besonderer Umstände auf einen Rechtsmissbrauch ( Art. 2 Abs. 2 ZGB ) des Arbeitnehmers berufen, der geltend macht, eine getroffene Vereinbarung verstosse gegen zwingendes Recht, ansonsten würde dem Arbeitnehmer der mit der zwingenden Gesetzesbestimmung gewährte Schutz auf dem Weg über Art. 2 ZGB wieder entzogen ( BGE 131 III 439 E. 5.1 mit Hinweisen). Solche besonderen Umstände liegen nach den Feststellungen des Einzelschiedsrichters in casu nicht vor und können auch nicht in den Teilzahlungen gesehen werden, weil sie aufgrund nichtiger Bestimmungen der Aufhebungsvereinbarung erfolgten. Angesichts der äusserst zurückhaltenden Annahme rechtsmissbräuchlicher Geltendmachung arbeitsrechtlicher Forderungen aus zwingendem Recht kann auf dem Boden der verbindlichen schiedsgerichtlichen Sachverhaltsfeststellung nicht gesagt werden, der Einzelschiedsrichter habe einem missbräuchlichen Verhalten des Beschwerdegegners Rechtsschutz gewährt, so dass sein Entscheid mit dem Ordre public unvereinbar wäre.</w:t>
      </w:r>
    </w:p>
    <w:p>
      <w:r>
        <w:t>Die Rüge, der angefochtene Schiedsentscheid verstosse gegen den materiellen Ordre public ( Art. 190 Abs. 2 lit. e IPRG ), erweist sich als unbegründet, soweit sie angesichts der weitgehend appellatorischen Darlegungen überhaupt zu behandeln ist.</w:t>
      </w:r>
    </w:p>
    <w:p>
      <w:r>
        <w:rPr>
          <w:b/>
        </w:rPr>
        <w:t>E. 4</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