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4A_134/2011 vom 23. Mai 2011</w:t>
      </w:r>
    </w:p>
    <w:p>
      <w:r>
        <w:t>Bundesgericht, 2011-05-23, FR</w:t>
      </w:r>
    </w:p>
    <w:p>
      <w:r>
        <w:rPr>
          <w:b/>
        </w:rPr>
        <w:t xml:space="preserve">Quelle: </w:t>
      </w:r>
      <w:r>
        <w:t>https://mcp.opencaselaw.ch/entscheid/bger_4A_134_2011</w:t>
      </w:r>
    </w:p>
    <w:p>
      <w:r>
        <w:t>FR: TF 4A_134/2011 du 23 mai 2011</w:t>
      </w:r>
    </w:p>
    <w:p>
      <w:r>
        <w:t>IT: TF 4A_134/2011 del 23 maggio 2011</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bail à loyer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la demanderesse et le défendeur se sont liés par un contrat de bail à loyer aux termes de l' art. 253 CO .</w:t>
      </w:r>
    </w:p>
    <w:p>
      <w:r>
        <w:rPr>
          <w:b/>
        </w:rPr>
        <w:t>E. 3</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 L' art. 266n CO prévoit que lorsque la chose louée est un logement familial, la sommation et la résiliation doivent être communiquées séparément au locataire et à son conjoint.</w:t>
      </w:r>
    </w:p>
    <w:p>
      <w:r>
        <w:t>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4C.123/2000 du 14 juin 2000, consid. 3b, CdB 2000 p. 109; Pierre Wessner, in Droit du bail à loyer, 2010, n° 17 ad art. 257d CO ; David Lachat, Le Bail à loyer, 2008, p. 666; Raymond Bisang et al., Das schweizerische Mietrecht, 3e éd., 2008, n° 26 in fine ad art. 257d CO ).</w:t>
      </w:r>
    </w:p>
    <w:p>
      <w:r>
        <w:t>La Chambre d'appel retient qu'au 4 mars 2009, date de la sommation adressée aux défendeurs, l'époux se trouvait en demeure de payer 3'400 fr. pour quatre mois de loyer et charges, soit les mois de mai, juin et juillet 2008, et mars 2009. Cela n'est pas contesté par la demanderesse.</w:t>
      </w:r>
    </w:p>
    <w:p>
      <w:r>
        <w:t>Ces mois n'étaient pas indiqués dans la sommation, laquelle mentionnait seulement, sans plus de renseignements, un montant de 7'650 fr. sans rapport avec la somme effectivement due à titre de loyer et charges. Il n'était donc pas possible de reconnaître aisément, à l'examen de la sommation, que trois mois de loyer et charges étaient demeurés impayés six mois auparavant. Dans ces conditions, contrairement à l'opinion de la demanderesse, la Chambre d'appel applique correctement l' art. 257d al. 1 CO en jugeant que la sommation ne satisfaisait pas aux exigences de clarté et de précision consacrées par la doctrine et la jurisprudence en rapport avec cette disposition. De ce point de vue, il est sans importance qu'il existât effectivement un arriéré, et il est aussi sans importance que par la suite, dans le procès, les défendeurs aient même reconnu devoir 1'500 francs. La contestation ne porte pas sur le paiement réclamé par la demanderesse mais sur son droit de mettre fin au contrat, par suite de la demeure du locataire, sans égard aux termes et délais de résiliation convenus. A ce sujet, il se confirme que le 21 avril 2009, faute d'avoir valablement sommé les défendeurs, la demanderesse ne se trouvait pas en droit de résilier le contrat sur la base de l' art. 257d al. 2 CO , et que le congé communiqué à cette date est donc inefficace.</w:t>
      </w:r>
    </w:p>
    <w:p>
      <w:r>
        <w:rPr>
          <w:b/>
        </w:rPr>
        <w:t>E. 4</w:t>
      </w:r>
    </w:p>
    <w:p>
      <w:r>
        <w:t>La Chambre d'appel souligne que le montant de la sommation était largement supérieur au total des loyers et charges réellement en souffrance. La demanderesse s'en prend à ce passage de la motivation de la décision attaquée; elle fait grief aux juges d'avoir implicitement tenu le congé pour contraire aux règles de la bonne foi, aux termes de l' art. 271 al. 1 CO , alors que les défendeurs n'avaient pas entrepris de le contester conformément à l' art. 273 al. 1 CO . Compte tenu que le congé était de toute manière inefficace au regard de l' art. 257d CO , le Tribunal fédéral peut se dispenser d'entrer dans cette discussion.</w:t>
      </w:r>
    </w:p>
    <w:p>
      <w:r>
        <w:rPr>
          <w:b/>
        </w:rPr>
        <w:t>E. 5</w:t>
      </w:r>
    </w:p>
    <w:p>
      <w:r>
        <w:t>La relation contractuelle s'étant poursuivie, la demanderesse n'était pas en droit d'exiger la restitution de la chose louée et il s'imposait donc de rejeter l'action en évacuation.</w:t>
      </w:r>
    </w:p>
    <w:p>
      <w:r>
        <w:t>Le recours se révèle privé de fondement, ce qui conduit à son rejet. A titre de partie qui succombe, la demanderesse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