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132/2017 vom 25. September 2017</w:t>
      </w:r>
    </w:p>
    <w:p>
      <w:r>
        <w:t>Bundesgericht, 2017-09-25, FR</w:t>
      </w:r>
    </w:p>
    <w:p>
      <w:r>
        <w:rPr>
          <w:b/>
        </w:rPr>
        <w:t xml:space="preserve">Quelle: </w:t>
      </w:r>
      <w:r>
        <w:t>https://mcp.opencaselaw.ch/entscheid/bger_4A_132_2017</w:t>
      </w:r>
    </w:p>
    <w:p>
      <w:r>
        <w:t>FR: TF 4A 132/2017 du 25 septembre 2017</w:t>
      </w:r>
    </w:p>
    <w:p>
      <w:r>
        <w:t>IT: TF 4A 132/2017 del 25 settembre 2017</w:t>
      </w:r>
    </w:p>
    <w:p>
      <w:pPr>
        <w:pStyle w:val="Heading2"/>
      </w:pPr>
      <w:r>
        <w:t>Regeste</w:t>
      </w:r>
    </w:p>
    <w:p>
      <w:r>
        <w:t>défaut de la chose louée; égards dus aux voisins; réduction de loyer | Droit des contrats</w:t>
      </w:r>
    </w:p>
    <w:p>
      <w:pPr>
        <w:pStyle w:val="Heading2"/>
      </w:pPr>
      <w:r>
        <w:t>Erwägungen</w:t>
      </w:r>
    </w:p>
    <w:p>
      <w:r>
        <w:rPr>
          <w:b/>
        </w:rPr>
        <w:t>E. 1</w:t>
      </w:r>
    </w:p>
    <w:p>
      <w:r>
        <w:t>Les deux recours sont dirigés contre le même arrêt, concernent le même complexe de faits et contiennent des motifs en grande partie similaires. Par économie de procédure, il se justifie dès lors de joindre les deux causes et de statuer dans un seul arrêt ( art. 24 PCF applicable par analogie vu le renvoi de l' art. 71 LTF ; cf. ATF 133 IV 215 consid. 1; 131 V 59 consid. 1 p. 60/61; 124 III 382 consid. 1a p. 385; 123 II 16 consid. 1 p. 20).</w:t>
      </w:r>
    </w:p>
    <w:p>
      <w:r>
        <w:rPr>
          <w:b/>
        </w:rPr>
        <w:t>E. 2</w:t>
      </w:r>
    </w:p>
    <w:p>
      <w:r>
        <w:t>L'arrêt attaqué est une décision finale ( art. 90 LTF ) rendue en matière civile ( art. 72 LTF ) par un tribunal supérieur désigné comme autorité cantonale de dernière instance, lequel a statué sur recours ( art. 75 LTF ). La cause atteint la valeur litigieuse minimale de 15'000 fr., ouvrant le recours en matière civile dans les affaires relevant du droit du bail à loyer ( art. 74 al. 1 let. a LTF ). Les recours sont exercés par les parties qui ont succombé dans leurs conclusions et qui ont donc qualité pour recourir ( art. 76 al. 1 LTF ); ils ont été déposés dans le délai ( art. 45 al. 1 et art. 100 al. 1 LTF ) et la forme ( art. 42 LTF ) prévus par la loi. Les recours sont en principe recevables, sous réserve de l'examen des griefs particuliers.</w:t>
      </w:r>
    </w:p>
    <w:p>
      <w:r>
        <w:rPr>
          <w:b/>
        </w:rPr>
        <w:t>E. 3.1</w:t>
      </w:r>
    </w:p>
    <w:p>
      <w:r>
        <w:t>Le recours est ouvert pour violation du droit fédéral ( art. 95 let. a LTF ). Le Tribunal fédéral applique ce droit d'office, hormis les droits fondamentaux ( art. 106 LTF ). Compte tenu de l'exigence de motivation contenue à l' art. 42 al. 1 et 2 LTF , il n'examine toutefois que les questions juridiques qui sont soulevées devant lui, sauf en cas d'erreurs juridiques manifestes ( ATF 140 III 86 consid. 2 p. 88 s., 115 consid. 2; 137 III 580 consid. 1.3 p. 584; 135 II 384 consid. 2.2.1 p. 389; 135 III 397 consid. 1.4 p. 400). Dès lors qu'une question est discutée, le Tribunal fédéral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 138 II 331 consid. 1.3 p. 336; 137 II 313 consid. 4 p. 317 s.; 135 III 397 consid. 1.4 p. 400). En revanche, le Tribunal fédéral ne se prononce sur la violation de droits fondamentaux que s'il se trouve saisi d'un grief y relatif, soulevé et motivé de façon détaillée ( art. 106 al. 2 LTF ; ATF 139 I 22 consid. 2.2; 137 III 580 consid. 1.3; 135 III 232 consid. 1.2; 134 I 83 consid. 3.2 p. 88; 134 II 244 consid. 2.2 p. 246).</w:t>
      </w:r>
    </w:p>
    <w:p>
      <w:r>
        <w:rPr>
          <w:b/>
        </w:rPr>
        <w:t>E. 3.2</w:t>
      </w:r>
    </w:p>
    <w:p>
      <w:r>
        <w:t>Le Tribunal fédéral statue sur la base des faits établis par l'autorité précédente ( art. 105 al. 1 LTF ); les allégations de fait et les moyens de preuve nouveaux sont en principe irrecevables ( art. 99 al. 1 LTF ). Le Tribunal fédéral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les critiques dites appellatoires, tendant simplement à une nouvelle appréciation des preuves, sont irrecevables ( ATF 133 II 249 consid. 1.4.3 p. 254; voir aussi ATF 141 IV 249 consid. 1.3.1 p. 253; 140 III 264 consid. 2.3 p. 266; 137 I 58 consid. 4.1.2 p. 62). Si elle souhaite obtenir un complètement de l'état de fait, la partie doit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Dans l'appréciation des preuves et la constatation des faits, l'autorité s'expose au grief d'arbitraire lorsqu'elle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137 I 58 consid. 4.1.2 p. 62; 137 III 226 consid. 4.2 p. 234; 136 III 552 consid. 4.2 p. 560; 134 V 53 consid. 4.3 p. 62).</w:t>
      </w:r>
    </w:p>
    <w:p>
      <w:r>
        <w:rPr>
          <w:b/>
        </w:rPr>
        <w:t>E. 4</w:t>
      </w:r>
    </w:p>
    <w:p>
      <w:r>
        <w:t>Les conclusions préalables des deux recours tendant à l'audition de témoins et à l'apport d'une procédure administrative mettant en cause les locataires se révèlent d'emblée irrecevables, les conditions de l'exception à l'interdiction de présenter des moyens de preuve nouveaux ( art. 99 al. 1 LTF ) n'étant manifestement pas remplies en l'espèce.</w:t>
      </w:r>
    </w:p>
    <w:p>
      <w:r>
        <w:rPr>
          <w:b/>
        </w:rPr>
        <w:t>E. 5</w:t>
      </w:r>
    </w:p>
    <w:p>
      <w:r>
        <w:t>Les recourants reprochent tout d'abord à l'autorité précédente d'avoir, en violation de l' art. 317 al. 1 CPC , refusé de prendre en compte les pièces n° 15 et nos 17 à 22, qu'ils avaient produites dans le cadre de l'appel. S'agissant de la pièce n° 15, l'argumentation des recourants est incompréhensible. Ils se bornent à affirmer que ce document, daté du 5 septembre 2016 et non 2015, fait partie d'une procédure administrative ouverte contre la locataire en raison de la transformation du studio en institut de beauté, mais n'indiquent même pas le fait qu'il était censé prouver. Quant aux pièces nos 17 à 22, établies bien avant l'ouverture de l'action en 2014, les recourants allèguent, sans plus de précision, en avoir eu connaissance plusieurs mois après l'acquisition de l'immeuble en juillet 2015, ce qui ne suffit manifestement pas à établir qu'elles ne pouvaient être produites en première instance (cf. art. 317 al. 1 let. b CPC ). Pour autant que recevable, le grief tiré d'une violation de l' art. 317 al. 1 CPC est mal fondé.</w:t>
      </w:r>
    </w:p>
    <w:p>
      <w:r>
        <w:rPr>
          <w:b/>
        </w:rPr>
        <w:t>E. 6</w:t>
      </w:r>
    </w:p>
    <w:p>
      <w:r>
        <w:t>A ce stade, la réduction de loyer liée à la diminution de l'ISPC n'est plus litigieuse. La contestation porte uniquement sur le défaut invoqué par les locataires et la réduction de loyer y relative. La cour cantonale a retenu en fait que le locataire U.________ a presque quotidiennement claqué les portes de son logement et de l'entrée de l'immeuble, qu'il a hurlé dans les parties communes et qu'il a agressé verbalement, à de très nombreuses reprises, plusieurs employés du salon de coiffure et de l'institut de beauté, qui en avaient peur; de nombreux employés ont donné leur démission en raison des problèmes rencontrés avec U.________, ce qui a entraîné une perte de la clientèle attachée aux coiffeurs démissionnaires. Selon les constatations de l'arrêt attaqué, U.________ a également causé des lésions corporelles à l'intimée et à l'un des employés de celle-ci; par ses vociférations et ses prises de photographies, il a en outre effrayé des clients, dont certains ne revenaient plus. La Chambre des baux et loyers a jugé que ces manquements répétés, parfois graves, aux égards dus aux habitants de l'immeuble et à la clientèle des commerces des intimés constituaient un défaut de la chose louée, qui devait être qualifié de grave compte tenu de ses incidences sur les activités commerciales des locataires. Les juges genevois ont considéré par ailleurs que ce défaut n'était pas imputable aux intimés. En particulier, le comportement reproché à la locataire, consistant à récupérer de force des affaires lui appartenant entreposées dans la cave de U.________, ne pouvait justifier les violations répétées par celui-ci de son devoir de diligence.</w:t>
      </w:r>
    </w:p>
    <w:p>
      <w:r>
        <w:rPr>
          <w:b/>
        </w:rPr>
        <w:t>E. 7</w:t>
      </w:r>
    </w:p>
    <w:p>
      <w:r>
        <w:t>Sous le grief d'"établissement incomplet et/ou inexact des faits", les recourants reprochent à la cour cantonale de n'avoir pas pris en compte plusieurs pièces versées au dossier, comme le rapport du détective privé mandaté par U.________ ou d'autres documents désignés uniquement pas leur numéro, censés démontrer la violation caractérisée de ses obligations contractuelles par la locataire pendant plusieurs années. Ils relèvent également que l'autorité précédente a occulté le fait qu'aucune réclamation concernant U.________ ne leur était parvenue depuis l'acquisition de l'immeuble en juillet 2015. La critique est largement appellatoire. Les recourants se livrent à leur propre appréciation des preuves, sans jamais chercher à démontrer l'arbitraire autrement que par des affirmations. Ils n'indiquent pas non plus en quoi les faits prétendument omis seraient déterminants pour le sort de la cause. Il n'y a donc pas lieu d'entrer en matière.</w:t>
      </w:r>
    </w:p>
    <w:p>
      <w:r>
        <w:rPr>
          <w:b/>
        </w:rPr>
        <w:t>E. 8.1</w:t>
      </w:r>
    </w:p>
    <w:p>
      <w:r>
        <w:t>Invoquant l' art. 9 Cst. , les recourants s'en prennent aux constatations de la cour cantonale à propos du comportement de U.________. De manière arbitraire, les juges genevois se seraient fondés sur des documents de complaisance et des témoignages d'employés ou de proches des locataires, n'auraient pas tenu compte de témoignages en faveur de U.________, émanant de deux personnes "tout à fait neutres et dignes de confiance" et, enfin, n'auraient entendu aucun client prétendument terrorisé par le locataire susnommé. La recourante soulève un grief similaire. Les juges genevois auraient retenu, sur la base de témoignages peu crédibles émanant d'amis et employés de la locataire, que U.________ avait vociféré, insulté et frappé; ils auraient ainsi versé dans l'arbitraire.</w:t>
      </w:r>
    </w:p>
    <w:p>
      <w:r>
        <w:rPr>
          <w:b/>
        </w:rPr>
        <w:t>E. 8.2</w:t>
      </w:r>
    </w:p>
    <w:p>
      <w:r>
        <w:t>Le comportement de U.________ et ses conséquences pour les intimés, tels que décrits dans l'arrêt attaqué, reposent sur les témoignages non seulement d'employés de l'intimée, mais également d'un habitant de l'immeuble et du représentant de la régie. Ce dernier a en particulier confirmé que le motif de la résiliation du bail de U.________ résidait dans les nombreuses agressions et altercations que ce locataire avait eues avec les employés de l'intimée, dont il portait la responsabilité aux yeux de la régie; il avait ajouté que la bailleresse avait finalement retiré le congé anticipé signifié à U.________ uniquement parce qu'elle n'entendait pas assumer des frais d'avocat. La cour cantonale s'est fondée en outre sur des constats médicaux et un acte d'accusation du Ministère public. Contrairement à ce que les parties recourantes prétendent, les déclarations des employés de la locataire, concernés au premier chef par l'attitude de U.________, ne sont pas dépourvus de valeur probante. Quant à la manipulation dont les témoins auraient fait l'objet de la part de la locataire, elle ne ressort que des allégations des recourants. Il s'ensuit que les parties recourantes échouent à démontrer que l'appréciation des preuves est entachée d'arbitraire, s'agissant du comportement de U.________.</w:t>
      </w:r>
    </w:p>
    <w:p>
      <w:r>
        <w:rPr>
          <w:b/>
        </w:rPr>
        <w:t>E. 9.1</w:t>
      </w:r>
    </w:p>
    <w:p>
      <w:r>
        <w:t>Il n'est pas contesté que les actes de U.________ constituent, en droit, des manquements aux égards dus aux occupants de l'immeuble au sens de l' art. 257f al. 2 CO et qu'ils peuvent être qualifiés de défauts de la chose louée ( art. 259a CO ; arrêts 4C.270/2001 du 26 novembre 2001 consid. 3dd, 4C.527/1996 du 29 mai 1997 consid. 3a). Selon l'argumentation similaire contenue dans les deux recours, ces agissements ne pourraient toutefois être invoqués à titre de défaut par les intimés. En effet, la locataire serait à l'origine du conflit avec U.________, dont elle aurait forcé la cave; son attitude injurieuse, provocatrice et perturbatrice, de même que celle de ses employés, auraient fait vivre un enfer aux autres locataires de l'immeuble dont U.________. Les locataires auraient aussi affecté le studio à des fins commerciales, en violation de la loi genevoise sur les démolitions, transformations et rénovations de maisons d'habitation (LDTR).</w:t>
      </w:r>
    </w:p>
    <w:p>
      <w:r>
        <w:rPr>
          <w:b/>
        </w:rPr>
        <w:t>E. 9.2</w:t>
      </w:r>
    </w:p>
    <w:p>
      <w:r>
        <w:t>Là encore, les auteurs des recours se fondent de manière inadmissible sur certains faits qui ne ressortent pas de l'arrêt attaqué ou dont on ne voit pas le rapport avec le comportement de U.________, comme l'affectation du studio. Pour le surplus, la cour cantonale a écarté les critiques que ce locataire adressait aux intimés s'agissant de l'utilisation de la buanderie (cf. arrêt rendu parallèlement dans la cause 4A_63/2017). Elle a jugé en outre que même si l'intimée avait récupéré de force des affaires lui appartenant qui se trouvaient dans la cave de U.________, ce dernier n'était pas légitimé à manquer ensuite, de manière régulière et répétée, d'égards envers les intimés ainsi qu'envers les employés et les clients de la locataire. Cette conclusion n'est pas critiquable, de sorte que les intimés peuvent à bon droit se prévaloir d'un défaut de la chose louée.</w:t>
      </w:r>
    </w:p>
    <w:p>
      <w:r>
        <w:rPr>
          <w:b/>
        </w:rPr>
        <w:t>E. 10</w:t>
      </w:r>
    </w:p>
    <w:p>
      <w:r>
        <w:t>Les recourants qualifient d'abusive l'obligation qui leur est faite de prendre des mesures à l'encontre de U.________. Sous ce grief, ils présentent encore une fois, de manière inadmissible, leur version des faits, selon laquelle U.________ serait victime du comportement de la locataire, véritable fautrice de troubles dans cette affaire. Ils ajoutent avoir pris, immédiatement après l'acquisition du bien, les décisions qui s'imposaient pour apaiser les tensions et n'avoir enregistré aucune plainte des intimés depuis le 24 (sic) juillet 2015. Les intimés ont prouvé l'existence du défaut. La cour cantonale a retenu qu'il subsistait au moment où elle se prononçait. Il appartenait aux recourants, devenus bailleurs et parties en cours de procédure, de démontrer que le défaut avait disparu et, le cas échéant, depuis quelle date. Or, rien de tel ne figure dans l'arrêt attaqué et les bailleurs ne prétendent pas avoir allégué des faits dans ce sens, ni produit des moyens de preuve pertinents à cet égard. Dans la mesure où il est recevable, le moyen ne peut être que rejeté.</w:t>
      </w:r>
    </w:p>
    <w:p>
      <w:r>
        <w:rPr>
          <w:b/>
        </w:rPr>
        <w:t>E. 11</w:t>
      </w:r>
    </w:p>
    <w:p>
      <w:r>
        <w:t>La cour cantonale a confirmé la réduction de 30% des loyers des deux locaux loués, à laquelle les premiers juges avaient procédé en équité. Dans son appréciation, elle a tenu compte des conséquences néfastes du défaut sur des locaux utilisés à des fins commerciales, en particulier la baisse de fréquentation des commerces, les arrêts-maladie et les démissions d'employés ainsi que la perte de clientèle.</w:t>
      </w:r>
    </w:p>
    <w:p>
      <w:r>
        <w:rPr>
          <w:b/>
        </w:rPr>
        <w:t>E. 11.1</w:t>
      </w:r>
    </w:p>
    <w:p>
      <w:r>
        <w:t>La recourante ne critique pas la mesure de la réduction. Elle conteste toute réduction de loyer, alléguant que l'intimée utilise le studio à des fins commerciales en violation de prescriptions de droit public et que le défaut n'a pas été prouvé à partir de juillet 2012. Elle prétend également que, en tout état de cause, la cour cantonale a violé la loi en réduisant le loyer rétroactivement dès juillet 2012 alors que la consignation de loyer n'a débuté qu'en mars 2014. Une fois encore, la recourante base son raisonnement de manière inadmissible sur des éléments qui ne ressortent pas de l'arrêt attaqué. Au surplus, l' art. 259d CO accorde expressément le droit à une réduction proportionnelle du loyer à partir du moment où le bailleur a eu connaissance du défaut, ce qui correspond en l'espèce au courrier du 17 juillet 2012 adressé par la locataire à la gérance. Dans la mesure où il est recevable, le grief est mal fondé.</w:t>
      </w:r>
    </w:p>
    <w:p>
      <w:r>
        <w:rPr>
          <w:b/>
        </w:rPr>
        <w:t>E. 11.2</w:t>
      </w:r>
    </w:p>
    <w:p>
      <w:r>
        <w:t>Pour leur part, les recourants se plaignent du caractère arbitraire et abusif de la réduction de loyer de 30% arrêtée par la cour cantonale, laquelle n'aurait en plus pas suffisamment motivé sa décision. Aucune diminution du chiffre d'affaires n'aurait été démontrée par pièce. Les juges genevois auraient en outre occulté le fait que les loyers étaient très modestes et que la locataire aurait modifié unilatéralement l'affectation du studio en local commercial, ce qui serait corroboré par l'ouverture en 2016 d'une procédure pour infraction à la LDTR. Enfin, les bailleurs reprochent à la cour cantonale de n'avoir opéré aucune distinction entre les situations avant et après l'acquisition de l'immeuble en juillet 2015. Si le défaut entrave ou restreint l'usage pour lequel la chose a été louée, le locataire peut exiger du bailleur une réduction proportionnelle du loyer à partir du moment où le bailleur a eu connaissance du défaut et jusqu'à l'élimination de celui-ci ( art. 259d CO ). En principe, la mesure de la réduction de loyer se détermine selon la méthode dite relative ou proportionnelle: la valeur objective de la chose avec défaut est comparée à sa valeur objective sans défaut, le loyer étant ensuite réduit dans la même proportion. Le calcul proportionnel ne se révélant pas toujours aisé, il est admis qu'une appréciation en équité, par référence à l'expérience générale de la vie, au bon sens et à la casuistique, n'est pas contraire au droit fédéral. Le Tribunal fédéral ne revoit alors cette appréciation qu'avec réserve; il n'intervient qu'en cas d'abus, c'est-à-dire si l'autorité précédente a retenu des critères inappropriés, si la décision rendue aboutit à un résultat manifestement injuste ou à une iniquité choquante ( ATF 130 III 504 consid. 4.1 p. 507 s.). La cour cantonale a fixé la quotité de la réduction de loyer en équité, ce qui n'est pas critiquable dans les circonstances de l'espèce. Contrairement à ce que les recourants prétendent, l'autorité précédente a dûment justifié le taux retenu. Elle a évoqué des exemples de réductions oscillant entre 15 et 25% en raison de nuisances sonores liées aux voisins dans des locaux d'habitation et relevé que la destination des locaux jouait un rôle important. Par ailleurs, les facteurs pris en compte sont des critères appropriés. En particulier, l'incidence du comportement de U.________ sur la marche des affaires des locataires, attestée par les témoignages, est un élément de poids. Les recourants paraissent vouloir une réduction de loyer différenciée pour le studio en raison de sa prétendue affectation commerciale contraire au contrat et à la LDTR. L'apport, à ce stade, de la procédure fondée sur la LDTR a déjà été refusé (cf. consid. 4 supra). Au surplus, il ressort de l'état de fait cantonal que les locataires ont été requis d'utiliser le studio à des fins d'habitation, pour la première fois, en février 2014, alors que la locataire y exploitait un salon de beauté depuis le début du bail, soit 13 ans auparavant. Dans ces conditions, il n'apparaît pas totalement insoutenable de la part des juges précédents d'avoir apprécié le taux de réduction notamment en fonction de l'utilisation commerciale du studio. Quant à une réduction de loyer limitée de juillet 2012 à juillet 2015, elle ne saurait entrer en ligne de compte dès lors que, comme déjà relevé, l'élimination du défaut ne ressort pas des constatations de la cour cantonale. Il s'ensuit que l'autorité précédente n'a pas abusé de son pouvoir d'appréciation en réduisant les deux loyers de 30% à partir de juillet 2012.</w:t>
      </w:r>
    </w:p>
    <w:p>
      <w:r>
        <w:rPr>
          <w:b/>
        </w:rPr>
        <w:t>E. 12</w:t>
      </w:r>
    </w:p>
    <w:p>
      <w:r>
        <w:t>Sur le vu de ce qui précède, les deux recours seront rejetés dans la mesure où ils sont recevables. La recourante, d'une part, et les recourants, d'autre part, prendront à leur charge les frais judiciaires afférents à leurs recours respectifs ( art. 66 al. 1 LTF ). En revanche, ils n'auront pas à verser de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