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4A_131/2026 vom 24. April 2026</w:t>
      </w:r>
    </w:p>
    <w:p>
      <w:r>
        <w:t>Bundesgericht, 2026-04-24, DE</w:t>
      </w:r>
    </w:p>
    <w:p>
      <w:r>
        <w:rPr>
          <w:b/>
        </w:rPr>
        <w:t xml:space="preserve">Quelle: </w:t>
      </w:r>
      <w:r>
        <w:t>https://mcp.opencaselaw.ch/entscheid/bger_4A_131_2026</w:t>
      </w:r>
    </w:p>
    <w:p>
      <w:r>
        <w:t>FR: TF 4A_131/2026 du 24 avril 2026</w:t>
      </w:r>
    </w:p>
    <w:p>
      <w:r>
        <w:t>IT: TF 4A_131/2026 del 24 aprile 2026</w:t>
      </w:r>
    </w:p>
    <w:p>
      <w:pPr>
        <w:pStyle w:val="Heading2"/>
      </w:pPr>
      <w:r>
        <w:t>Erwägungen</w:t>
      </w:r>
    </w:p>
    <w:p>
      <w:r>
        <w:rPr>
          <w:b/>
        </w:rPr>
        <w:t>E. 1</w:t>
      </w:r>
    </w:p>
    <w:p>
      <w:r>
        <w:t>Mit Entscheid vom 22. August 2025 wies das Kantonsgericht Zug ein von den Beschwerdegegnerinnen gestelltes Gesuch um Anordnung vorsorglicher Massnahmen ab.</w:t>
      </w:r>
    </w:p>
    <w:p>
      <w:r>
        <w:t>Mit Urteil vom 19. Februar 2026 hob das Obergericht des Kantons Zug den Entscheid des Kantonsgerichts vom 22. August 2025 in teilweiser Gutheissung der Berufung der Beschwerdegegnerinnen auf und verbot dem Beschwerdeführer im Sinne einer vorsorglichen Massnahme unter Strafandrohung, die Beschwerdegegnerinnen zu vertreten, deren Geschäftsführung auszuüben und in deren Namen aufzutreten oder Rechtsgeschäfte zu tätigen. Zudem setzte es den Beschwerdegegnerinnen eine Frist an, eine Prosequierungsklage einzureichen, verbunden mit dem Hinweis, dass die angeordneten vorsorglichen Massnahmen bei unbenütztem Ablauf dieser Frist dahinfallen. Im Übrigen wies es das Gesuch um vorsorgliche Massnahmen ab und wies das Handelsregisteramt Zug an, bestimmte Eintragungen vorzunehmen bzw. eine erfolgte Handelsregistersperre aufzuheben.</w:t>
      </w:r>
    </w:p>
    <w:p>
      <w:r>
        <w:t>Mit Eingabe vom 15. März 2026 erklärte der Beschwerdeführer dem Bundesgericht, das Urteil des Obergerichts des Kantons Zug vom 19. Februar 2026 mit Beschwerde anfechten zu wollen.</w:t>
      </w:r>
    </w:p>
    <w:p>
      <w:r>
        <w:t>Es wurden keine Vernehmlassungen eingeholt.</w:t>
      </w:r>
    </w:p>
    <w:p>
      <w:r>
        <w:rPr>
          <w:b/>
        </w:rPr>
        <w:t>E. 2</w:t>
      </w:r>
    </w:p>
    <w:p>
      <w:r>
        <w:t>Das Bundesgericht prüft von Amtes wegen und mit freier Kognition, ob ein Rechtsmittel zulässig ist ( Art. 29 Abs. 1 BGG ; BGE 150 III 248 E. 1; 149 III 277 E. 3.1; 148 IV 155 E. 1.1).</w:t>
      </w:r>
    </w:p>
    <w:p>
      <w:r>
        <w:rPr>
          <w:b/>
        </w:rPr>
        <w:t>E. 2.1</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w:t>
      </w:r>
    </w:p>
    <w:p>
      <w:r>
        <w:t>Die vorliegend strittigen vorsorglichen Massnahmen wurden im Hinblick auf ein Hauptverfahren erlassen. Es handelt sich daher beim angefochtenen Entscheid des Obergerichts des Kantons Zug vom 19. Februar 2026 um einen Zwischenentscheid im Sinne von Art. 93 BGG .</w:t>
      </w:r>
    </w:p>
    <w:p>
      <w:r>
        <w:rPr>
          <w:b/>
        </w:rPr>
        <w:t>E. 2.2</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2.3</w:t>
      </w:r>
    </w:p>
    <w:p>
      <w:r>
        <w:t>Der Beschwerdeführer geht zu Unrecht davon aus, es handle sich beim angefochtenen Entscheid um einen Endentscheid im Sinne von Art. 90 BGG . Er zeigt keinen Nachteil rechtlicher Natur im Sinne von Art. 93 Abs. 1 lit. a BGG auf, der auch durch einen für ihn günstigen Entscheid in der Zukunft nicht mehr behoben werden könnte (die Ausnahme von Art. 93 Abs. 1 lit. b BGG fällt ausser Betracht). Die Eintretensvoraussetzungen sind daher offensichtlich nicht erfüllt.</w:t>
      </w:r>
    </w:p>
    <w:p>
      <w:r>
        <w:t>Auf die Beschwerde ist daher im vereinfachten Verfahren nach Art. 108 Abs. 1 lit. a BGG nicht einzutreten.</w:t>
      </w:r>
    </w:p>
    <w:p>
      <w:r>
        <w:rPr>
          <w:b/>
        </w:rPr>
        <w:t>E. 3</w:t>
      </w:r>
    </w:p>
    <w:p>
      <w:r>
        <w:t>Der Beschwerdeführer wird bei diesem Verfahrensausgang kostenpflichtig ( Art. 66 Abs. 1 BGG ). Den Beschwerdegegnerinnen und der Verfahrensbeteiligten stehen keine Parteientschädigungen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