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4A_130/2010 vom 15. Dezember 2010</w:t>
      </w:r>
    </w:p>
    <w:p>
      <w:r>
        <w:t>Bundesgericht, 2010-12-15, FR</w:t>
      </w:r>
    </w:p>
    <w:p>
      <w:r>
        <w:rPr>
          <w:b/>
        </w:rPr>
        <w:t xml:space="preserve">Quelle: </w:t>
      </w:r>
      <w:r>
        <w:t>https://mcp.opencaselaw.ch/entscheid/bger_4A_130_2010</w:t>
      </w:r>
    </w:p>
    <w:p>
      <w:r>
        <w:t>FR: TF 4A_130/2010 du 15 décembre 2010</w:t>
      </w:r>
    </w:p>
    <w:p>
      <w:r>
        <w:t>IT: TF 4A_130/2010 del 15 dicembre 2010</w:t>
      </w:r>
    </w:p>
    <w:p>
      <w:pPr>
        <w:pStyle w:val="Heading2"/>
      </w:pPr>
      <w:r>
        <w:t>Erwägungen</w:t>
      </w:r>
    </w:p>
    <w:p>
      <w:r>
        <w:rPr>
          <w:b/>
        </w:rPr>
        <w:t>E. 1</w:t>
      </w:r>
    </w:p>
    <w:p>
      <w:r>
        <w:t>Les deux recours sont dirigés contre un jugement final ( art. 90 LTF ), rendu en matière civile ( art. 72 al. 1 LTF ) et en dernière instance cantonale ( art. 75 al. 1 LTF ), sous réserve des griefs qui pouvaient être soumis à la Chambre des recours du Tribunal cantonal (voir les arrêts 4A_92/2010 du 17 mai 2010, consid. 2, et 4A_197/2009 du 6 août 2009, consid. 1). Leurs auteurs ont pris part à l'instance et succombé dans leurs conclusions ( art. 76 al. 1 LTF ). La valeur litigieuse excède le minimum légal de 30'000 fr. (art. 51 al. 1 let. a et 74 al. 1 let. b LTF). Les recours ont été introduits en temps utile ( art. 100 al. 1 LTF ) et dans les formes requises (art. 42 al. 1 à 3 LTF).</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D'après les conclusions de la demande, la Cour civile du Tribunal cantonal était requise d'allouer sur le capital de 700'000 fr. des intérêts au taux de 5% par an dès le 1er août 2001, garantis par l'immeuble n° 78 de Z.________ et recouvrables dans la poursuite par voie de réalisation du gage n° 207794.</w:t>
      </w:r>
    </w:p>
    <w:p>
      <w:r>
        <w:t>Dans son jugement, la Cour constate que la cédule hypothécaire n° 131'780 n'a été dénoncée qu'avec effet au 31 mai 2004, et elle alloue des intérêts moratoires, au taux et avec les accessoires précités, à compter du 1er juin 2004 seulement.</w:t>
      </w:r>
    </w:p>
    <w:p>
      <w:r>
        <w:t>Devant le Tribunal fédéral, la demanderesse fait valoir que le prêt garanti par la cédule portait intérêts, selon le contrat des parties, aussi au taux de 5% par an, et que ces intérêts conventionnels ne lui ont plus été payés au delà du 31 juillet 2001; elle les revendique donc pour la période du 1er août 2001 au 31 mai 2004, en admettant toutefois qu'ils ne sont ni garantis par le gage immobilier, ni recouvrables dans la poursuite n° 207794.</w:t>
      </w:r>
    </w:p>
    <w:p>
      <w:r>
        <w:t>Sur la base d'une expertise judiciaire, il est constaté dans le jugement que le prêt portait intérêts au taux de 5% dès le 1er juin 2001 et que les derniers intérêts versés par l'emprunteur sont ceux du 31 juillet 2001. La demanderesse est donc fondée à réclamer ces intérêts conventionnels pour la durée résiduelle du contrat, soit du 1er août 2001 au 31 mai 2004. Les défendeurs ne tentent d'ailleurs pas de résister à cette prétention autrement que par des conclusions dépourvues de motivation. Le recours de la demanderesse sera donc admis selon ses conclusions.</w:t>
      </w:r>
    </w:p>
    <w:p>
      <w:r>
        <w:rPr>
          <w:b/>
        </w:rPr>
        <w:t>E. 3</w:t>
      </w:r>
    </w:p>
    <w:p>
      <w:r>
        <w:t>A l'appui de leur propre recours, les défendeurs font valoir que depuis leur mariage, l'immeuble n° 78 comprend leur logement familial aux termes de l' art. 169 al. 1 CC , et que l'épouse n'a jamais consenti à la constitution et à la cession, en 1998, des deux cédules nos 140883 et 140884 aux montants respectifs de 55'000 et 33'000 francs. Sur la base de cette disposition légale, ils soutiennent que l'engagement de ces titres par l'époux, en faveur de la banque, était nul, et que sur la totalité des remboursements ultérieurement opérés par lui, un montant supplémentaire de 88'000 fr. doit être imputé sur la dette garantie par la cédule initiale n° 131'780 plutôt que sur celle garantie par les quatre cédules nos 165477, 135478, 140883 et 140884.</w:t>
      </w:r>
    </w:p>
    <w:p>
      <w:r>
        <w:t>D'après le jugement de la Cour civile, il paraît établi que l'immeuble n° 78 comprend effectivement le logement familial des défendeurs.</w:t>
      </w:r>
    </w:p>
    <w:p>
      <w:r>
        <w:t>A bien comprendre leur raisonnement, le crédit au montant de 177'291 fr.05 censément garanti par la cession en propriété de quatre cédules en deuxième rang nos 165477, 135478, 140883 et 140884, selon l'acte récapitulatif du 9 avril 1998, n'était valablement et effectivement garanti que par ces deux premiers titres, à hauteur de 110'000 fr. seulement, et, au delà de ce montant, les remboursements devaient être affectés à l'amortissement du crédit garanti par la cédule en premier rang n° 131'780.</w:t>
      </w:r>
    </w:p>
    <w:p>
      <w:r>
        <w:t>Selon l' art. 86 al. 1 et 2 CO ,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pas immédiatement (al. 2). Par lettre du 21 septembre 2006, la demanderesse a communiqué au défendeur que le produit de la vente de l'immeuble n° 353 avait été affecté au remboursement intégral du prêt garanti par ces quatre titres, à concurrence de 147'630 fr.20, et que le solde au montant de 122'560 fr. était porté en déduction du prêt garanti par la cédule en premier rang continuant de grever l'immeuble n° 78. Cette communication écrite équivaut à la désignation de la dette dans une hypothétique quittance, aux termes de l' art. 86 al. 2 CO (Denis Loertscher, in Commentaire romand, n° 7 ad art. 86 CO , avec référence à d'autres auteurs). La Cour civile n'a pas constaté qu'en l'espèce, le contrat de prêt contienne un accord dérogeant à cette règle, ni que le défendeur se soit opposé, d'une manière quelconque, à l'amortissement intégral du prêt garanti par les cédules en deuxième rang. Par conséquent, aucun des deux défendeurs n'est actuellement autorisé à exiger une répartition différente du prix retiré de la vente de l'immeuble n° 353, réduisant davantage la dette encore garantie par l'immeuble n° 78.</w:t>
      </w:r>
    </w:p>
    <w:p>
      <w:r>
        <w:t>Pour ce motif déjà, l'argumentation soumise au Tribunal fédéral n'est pas concluante et le recours doit être rejeté. La jurisprudence n'a pas encore précisé si, et, le cas échéant, à quelles conditions ou dans quelle mesure la constitution de droits de gage immobiliers s'inscrit dans les actes juridiques subordonnés à l'accord du conjoint selon l' art. 169 al. 1 CC . Dans la présente affaire, il n'est pas nécessaire d'élucider cette question juridique, ni, en particulier, de trancher la controverse doctrinale qui s'est développée à son sujet (cf. Pierre Scyboz, in Commentaire romand, 2010, n° 26 ad art. 169 CC ).</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le recours des défendeurs n'offrait manifestement aucune chance de succès, ce qui entraîne le rejet de leur demande d'assistance judiciaire. Il n'est pas nécessaire de vérifier s'ils se trouvent effectivement dépourvus des ressources nécessaires aux frais d'un procès.</w:t>
      </w:r>
    </w:p>
    <w:p>
      <w:r>
        <w:t>A titre de parties qui succombent, ces plaideurs doivent acquitter des émoluments judiciaires qui seront fixés à 4'000 fr. pour leur propre recours et à 5'000 fr. pour celui de leur adverse partie. Pour ce recours-ci, ladite partie peut prétendre aux dépens, lesquels seront fixés à 6'000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