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4A_12/2014 vom 6. März 2014</w:t>
      </w:r>
    </w:p>
    <w:p>
      <w:r>
        <w:t>Bundesgericht, 2014-03-06, DE</w:t>
      </w:r>
    </w:p>
    <w:p>
      <w:r>
        <w:rPr>
          <w:b/>
        </w:rPr>
        <w:t xml:space="preserve">Quelle: </w:t>
      </w:r>
      <w:r>
        <w:t>https://mcp.opencaselaw.ch/entscheid/bger_4A_12_2014</w:t>
      </w:r>
    </w:p>
    <w:p>
      <w:r>
        <w:t>FR: TF 4A_12/2014 du 6 mars 2014</w:t>
      </w:r>
    </w:p>
    <w:p>
      <w:r>
        <w:t>IT: TF 4A_12/2014 del 6 marzo 2014</w:t>
      </w:r>
    </w:p>
    <w:p>
      <w:pPr>
        <w:pStyle w:val="Heading2"/>
      </w:pPr>
      <w:r>
        <w:t>Erwägungen</w:t>
      </w:r>
    </w:p>
    <w:p>
      <w:r>
        <w:rPr>
          <w:b/>
        </w:rPr>
        <w:t>E. 1</w:t>
      </w:r>
    </w:p>
    <w:p>
      <w:r>
        <w:t>Die Beschwerde richtet sich gegen einen verfahrensabschliessenden Endentscheid ( Art. 90 BGG ). Zu beurteilen ist eine Streitigkeit aus Zusatzversicherungen zur sozialen Krankenversicherung, die von der Vorinstanz gestützt auf Art. 9 des Einführungsgesetzes des Kantons St. Gallen zur Schweizerischen Zivilprozessordnung (EGZPO; sGS 961.2) in Verbindung mit Art. 7 der Schweizerischen Zivilprozessordnung als einzige kantonale Instanz entschieden worden ist. Gegen ihren Entscheid steht die Beschwerde in Zivilsachen unabhängig vom Streitwert offen ( Art. 74 Abs. 2 lit. b BGG ; BGE 138 III 2 E. 1.2.2 S. 4).</w:t>
      </w:r>
    </w:p>
    <w:p>
      <w:r>
        <w:rPr>
          <w:b/>
        </w:rPr>
        <w:t>E. 2</w:t>
      </w:r>
    </w:p>
    <w:p>
      <w:r>
        <w:t>Die Beschwerde hat ein Rechtsbegehren zu enthalten ( Art. 42 Abs. 1 BGG ). Da die Beschwerde an das Bundesgericht ein reformatorisches Rechtsmittel ist ( Art. 107 Abs. 2 BGG ), ist grundsätzlich ein materieller, d.h. bezifferter Antrag erforderlich. Dies gilt auch hinsichtlich der vom Ausgang der Hauptsache unabhängigen Anfechtung der vorinstanzlichen Kosten- und Entschädigungsregelung (Urteil 4A_89/2014 vom 25. Februar 2014 mit Hinweisen). Es genügt allerdings, wenn aus der Beschwerdebegründung hervorgeht, in welchem Sinn der angefochtene Entscheid abgeändert werden soll ( BGE 134 III 235 E. 2 S. 236 f. mit Hinweis; Urteil 4A_89/2014 vom 25. Februar 2014).</w:t>
      </w:r>
    </w:p>
    <w:p>
      <w:r>
        <w:t>Aus den Rechtsbegehren der Beschwerdeführerin ergibt sich kein bezifferter Antrag. Auch aus der Beschwerdebegründung kann nicht abgeleitet werden, welchen Betrag sie zugesprochen erhalten möchte. Auf die vorliegende Beschwerde kann demnach nicht eingetreten werden.</w:t>
      </w:r>
    </w:p>
    <w:p>
      <w:r>
        <w:rPr>
          <w:b/>
        </w:rPr>
        <w:t>E. 3</w:t>
      </w:r>
    </w:p>
    <w:p>
      <w:r>
        <w:t>Bei diesem Verfahrensausgang sind die Gerichtskosten der Beschwerdeführerin aufzuerlegen ( Art. 66 Abs. 1 BGG ). Da sich die Beschwerdegegnerin nicht vernehmen liess, besteht kein Anspruch auf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