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4A_12/2013 vom 27. Juni 2013</w:t>
      </w:r>
    </w:p>
    <w:p>
      <w:r>
        <w:t>Bundesgericht, 2013-06-27, FR</w:t>
      </w:r>
    </w:p>
    <w:p>
      <w:r>
        <w:rPr>
          <w:b/>
        </w:rPr>
        <w:t xml:space="preserve">Quelle: </w:t>
      </w:r>
      <w:r>
        <w:t>https://mcp.opencaselaw.ch/entscheid/bger_4A_12_2013</w:t>
      </w:r>
    </w:p>
    <w:p>
      <w:r>
        <w:t>FR: TF 4A_12/2013 du 27 juin 2013</w:t>
      </w:r>
    </w:p>
    <w:p>
      <w:r>
        <w:t>IT: TF 4A_12/2013 del 27 giugno 2013</w:t>
      </w:r>
    </w:p>
    <w:p>
      <w:pPr>
        <w:pStyle w:val="Heading2"/>
      </w:pPr>
      <w:r>
        <w:t>Erwägungen</w:t>
      </w:r>
    </w:p>
    <w:p>
      <w:r>
        <w:rPr>
          <w:b/>
        </w:rPr>
        <w:t>E. 1.1</w:t>
      </w:r>
    </w:p>
    <w:p>
      <w:r>
        <w:t>Interjeté par la partie qui a succombé dans ses conclusions en paiement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30'000 fr. ( art. 74 al. 1 let. b LTF ), le recours est recevable, puisqu'il a été déposé dans le délai (art. 45 al. 1, 46 al. 1 let. c, 48 al. 1 et 100 al. 1 LTF) et la forme ( art. 42 LTF ) prévus par la loi.</w:t>
      </w:r>
    </w:p>
    <w:p>
      <w:r>
        <w:rPr>
          <w:b/>
        </w:rPr>
        <w:t>E. 1.2</w:t>
      </w:r>
    </w:p>
    <w:p>
      <w:r>
        <w:t>Le recours peut être interjeté pour violation du droit, tel qu'il est délimité par les art. 95 et 96 LTF . Il peut donc également être formé pour violation d'un droit constitutionnel ( ATF 136 I 241 consid. 2.1 p. 247; 136 II 304 consid. 2.4 p. 313).</w:t>
      </w:r>
    </w:p>
    <w:p>
      <w:r>
        <w:t>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cantonale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et l'établissement des faits doit motiver son grief d'une manière répondant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t>S'il admet le recours, le Tribunal fédéral peut statuer lui-même sur le fond ou renvoyer l'affaire à l'autorité précédente ( art. 107 al. 2 LTF ). Il s'agit donc en principe d'un recours en réforme, ce qui suppose que la partie recourante prenne des conclusions sur le fond; elle ne peut s'en abstenir que si le Tribunal fédéral, à supposer qu'il accueille le recours, ne pourrait de toute manière pas statuer lui-même sur le fond ( ATF 137 III 313 consid. 1.3 p. 317; 134 III 379 consid. 1.3 p. 383; 133 III 489 consid. 3.1 p. 489 s.). En l'espèce, la cour cantonale - en raison du raisonnement qu'elle a adopté - n'a fait aucune constatation sur le montant que l'intimée pourrait devoir au recourant. En conséquence, le Tribunal fédéral, s'il admettait le recours, ne serait pas en mesure de statuer lui-même sur le fond. Il en résulte que les conclusions cassatoires prises à titre principal par le recourant sont recevables, de même bien évidemment que ses conclusions subsidiaires.</w:t>
      </w:r>
    </w:p>
    <w:p>
      <w:r>
        <w:rPr>
          <w:b/>
        </w:rPr>
        <w:t>E. 2.1</w:t>
      </w:r>
    </w:p>
    <w:p>
      <w:r>
        <w:t>A l'appui de sa demande, le recourant soutient qu'un prêt de consommation, au sens de l' art. 312 CO , a été conclu entre les parties et que l'intimée lui doit remboursement des sommes qu'elle a reçues.</w:t>
      </w:r>
    </w:p>
    <w:p>
      <w:r>
        <w:t>Selon l' art. 312 CO , le prêt de consommation est un contrat par lequel le prêteur s'oblige à transférer la propriété d'une somme d'argent ou d'autres choses fongibles à l'emprunteur, à charge par ce dernier de lui en rendre autant de même espèce et qualité.</w:t>
      </w:r>
    </w:p>
    <w:p>
      <w:r>
        <w:t>Le prêt de consommation suppose donc notamment, à la charge de l'emprunteur, une obligation de restituer ( ATF 131 III 268 consid. 4.2 p. 274; 129 III 118 consid. 2.2 p. 120). L'obligation de restituer une somme d'argent équivalente ou une chose fongible de même espèce et qualité constitue donc un élément essentiel du contrat, nécessaire pour retenir une telle qualification ( TERCIER/FAVRE, Les contrats spéciaux, 4</w:t>
      </w:r>
    </w:p>
    <w:p>
      <w:r>
        <w:t>e éd., 2009, n° 3028; PIERRE ENGEL, Contrats de droit suisse, 2</w:t>
      </w:r>
    </w:p>
    <w:p>
      <w:r>
        <w:t>e éd. 2000, p. 266 s.; SCHÄRER/MAURENBRECHER, Basler Kommentar, Obligationenrecht I, 5</w:t>
      </w:r>
    </w:p>
    <w:p>
      <w:r>
        <w:t>e éd. 2011, n° s 10e et 11 ad art. 312 CO ; BOVET/RICHA, Commentaire romand, Code des obligations I, 2</w:t>
      </w:r>
    </w:p>
    <w:p>
      <w:r>
        <w:t>e éd. 2012, n° 4 ad art. 312 CO ; PETER HIGI, Zürcher Kommentar, 2003, n° 22 ad art. 312 CO ).</w:t>
      </w:r>
    </w:p>
    <w:p>
      <w:r>
        <w:t>Celui qui agit en restitution d'un prêt doit apporter la preuve non seulement qu'il a remis les fonds, mais encore et au premier chef qu'un contrat de prêt de consommation a été conclu, ce qui suppose un accord sur une obligation de restitution à la charge de l'emprunteur; dire si une telle obligation a été convenue suppose une appréciation des preuves et le fardeau de la preuve incombe au demandeur ( art. 8 CC ; ATF 83 II 209 consid. 2 p. 210). Quand bien même une donation ne se présume pas, le demandeur n'est au bénéfice d'aucune présomption légale et il doit apporter la preuve que l'obligation de remboursement a été convenue ( TERCIER/FAVRE, op. cit., n° 3009; SCHÄRER/MAURENBRECHER, op. cit., n° 11b ad art. 312 CO ).</w:t>
      </w:r>
    </w:p>
    <w:p>
      <w:r>
        <w:t>Appréciant les preuves apportées, la cour cantonale est parvenue à la conclusion que le demandeur n'avait pas prouvé que les parties étaient convenues d'une obligation de remboursement à la charge de l'intimée. Si on doit la suivre dans cette appréciation des preuves, il en résulte nécessairement que la qualification de prêt de consommation est exclue. Il en résulterait alors que la cour cantonale, sans violer le droit fédéral, a rejeté à juste titre l'action du demandeur fondée sur l'existence d'un tel contrat. Il n'est nul besoin de se demander si les attributions ont été faites à titre de donation ( art. 239 CO ) ou d'exécution d'un devoir moral (cf. ATF 116 II 243 consid. 4a et b p. 245 s.). Il n'y a pas davantage à se demander si les prétentions du recourant pourrait se fonder sur un contrat de société simple ( art. 530 CO ) ou sur l'enrichissement illégitime ( art. 62 et 67 CO ), parce que ces constructions juridiques supposeraient que l'on élucide d'autres points de fait, ce qui est exclu devant le Tribunal fédéral ( art. 99 al. 1 LTF ).</w:t>
      </w:r>
    </w:p>
    <w:p>
      <w:r>
        <w:rPr>
          <w:b/>
        </w:rPr>
        <w:t>E. 2.2</w:t>
      </w:r>
    </w:p>
    <w:p>
      <w:r>
        <w:t>Les parties n'ayant conclu entre elles aucun contrat écrit relatif aux attributions litigieuses, il ne s'agit pas - contrairement à ce que suggère le recourant - d'appliquer les règles sur l'interprétation des clauses contractuelles (sur ces règles: ATF 135 III 410 consid. 3.2 p. 412 s.; 131 III 606 consid. 4.1 p. 612).</w:t>
      </w:r>
    </w:p>
    <w:p>
      <w:r>
        <w:t>Il s'agit uniquement d'apprécier les preuves apportées pour déterminer si le recourant est ou non parvenu à prouver l'existence d'un accord des parties portant sur une obligation de rembourser à la charge de l'intimée.</w:t>
      </w:r>
    </w:p>
    <w:p>
      <w:r>
        <w:t>Dès lors que le fardeau de la preuve - comme on l'a vu - incombe au demandeur, la seule question qui reste à résoudre est de savoir si la cour cantonale a correctement apprécié les preuves. Or, le Tribunal fédéral ne peut revoir cette question que sous l'angle restreint de l'arbitraire et il incombe au recourant de démontrer, par une argumentation précise, en quoi l'appréciation cantonale est insoutenable (cf. ATF 137 I 58 consid. 4.1.2 p. 62).</w:t>
      </w:r>
    </w:p>
    <w:p>
      <w:r>
        <w:t>Selon la jurisprudence, l'arbitraire, prohibé par l' art. 9 Cst. , ne résulte pas du seul fait qu'une autre solution pourrait entrer en considération ou même qu'elle serait préférable; le Tribunal fédéral n'intervient pour cause d'arbitraire que si la décision attaquée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138 I 49 consid. 7.1 p. 51, 305 consid. 4.4 p. 319; 138 III 378 consid. 6.1 p. 379 s.; 138 IV 13 consid. 5.1 p. 22).</w:t>
      </w:r>
    </w:p>
    <w:p>
      <w:r>
        <w:t>S'agissant plus précisément de l'appréciation des preuves, la décision attaquée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136 III 552 consid. 4.2 p. 560; 129 I 8 consid. 2.1 p. 9).</w:t>
      </w:r>
    </w:p>
    <w:p>
      <w:r>
        <w:rPr>
          <w:b/>
        </w:rPr>
        <w:t>E. 2.2.1</w:t>
      </w:r>
    </w:p>
    <w:p>
      <w:r>
        <w:t>Le recourant reproche à la cour cantonale de s'être fondée sur deux témoignages. Il fait valoir qu'il s'agit d'amis de l'intimée. Ces témoins ont cependant déclaré - sans que cela ne soit contesté - qu'ils connaissaient les deux parties. Quoi qu'il en soit, on ne voit pas, sur la base des faits avancés par le recourant, ce qui permettrait d'affirmer qu'ils ont fait délibérément des dépositions fausses et qu'il était arbitraire de les croire. Le recourant observe que ces témoins ont reconnu qu'ils s'étaient entretenus de l'objet du litige avec l'intimée. Ce fait - relativement courant - ne permet pas encore de déduire que l'intimée a fait pression sur eux pour obtenir une déposition fausse, ni surtout que les témoins auraient accepté de faire un faux témoignage. On ne voit donc pas ce qu'il y avait d'arbitraire à croire ces personnes.</w:t>
      </w:r>
    </w:p>
    <w:p>
      <w:r>
        <w:t>Le recourant soutient encore que ces dépositions ne sont pas recevables, parce qu'il s'agit de témoignages par ouï-dire, prohibés par la procédure cantonale encore applicable en première instance ( art. 404 al. 1 CPC ). Cette opinion ne peut pas être suivie. Les témoins ont en effet exposé ce qu'ils avaient eux-mêmes entendu. Or, les déclarations que les parties faisaient à leurs connaissances, à l'époque, sur leurs relations pécuniaires est un élément d'appréciation pertinent. Les témoins ayant déclaré ce qu'ils ont personnellement entendu, alors que ces déclarations étaient pertinentes, on ne saurait dire que la disposition cantonale citée a été violée arbitrairement.</w:t>
      </w:r>
    </w:p>
    <w:p>
      <w:r>
        <w:rPr>
          <w:b/>
        </w:rPr>
        <w:t>E. 2.2.2</w:t>
      </w:r>
    </w:p>
    <w:p>
      <w:r>
        <w:t>Le recourant fait valoir que l'intimée n'a pas déclaré au fisc, dans ses revenus, qu'elle touchait des prestations d'entretien ou des dons. La cour cantonale a observé - sans que l'arbitraire ne soit invoqué à ce propos - que le recourant n'a pas non plus déclaré dans sa fortune la créance en remboursement qu'il prétend avoir à l'encontre de l'intimée. Ainsi, chaque partie a fait une déclaration fiscale qui lui était favorable, mais qui ne correspond pas à la position qu'elle défend présentement dans la procédure. On ne peut donc rien tirer de concluant de l'argument fiscal.</w:t>
      </w:r>
    </w:p>
    <w:p>
      <w:r>
        <w:rPr>
          <w:b/>
        </w:rPr>
        <w:t>E. 2.2.3</w:t>
      </w:r>
    </w:p>
    <w:p>
      <w:r>
        <w:t>Le recourant invoque le fait qu'à partir d'une certaine date, les virements qu'il a effectués comportent, sous la rubrique " communication ", la mention d'un prêt. Il semble cependant qu'il ait apporté régulièrement cette mention seulement à partir du moment où les relations entre les parties se sont dégradées, en tout cas à partir du moment où il a cessé de voir l'enfant. Quoi qu'il en soit, ces déclarations unilatérales du recourant sont impropres à démontrer l'existence d'un engagement de rembourser de la part de l'intimée. Le silence de celle-ci est insuffisant pour conclure à l'existence d'un engagement (cf. art. 6 CO ; cf. arrêt 4A_231/2010 du 10 août 2010 consid. 2.4.1 publié in SJ 2010 I p. 497).</w:t>
      </w:r>
    </w:p>
    <w:p>
      <w:r>
        <w:rPr>
          <w:b/>
        </w:rPr>
        <w:t>E. 2.2.4</w:t>
      </w:r>
    </w:p>
    <w:p>
      <w:r>
        <w:t>Il faut relever que les éléments de preuve critiqués par le recourant ne sont pas les seuls à l'appui de la conclusion tirée par la cour cantonale. Il faut aussi tenir compte de l'ensemble des circonstances. Les versements réguliers ont commencé exactement avec la naissance de l'enfant. Le curateur de l'enfant les a d'ailleurs compris comme des prestations d'entretien, puisqu'il n'a demandé des aliments qu'à partir du moment où ces prestations ont cessé. La situation financière de l'intimée - connue du recourant - était à ce point précaire qu'il ne pouvait guère espérer obtenir le remboursement de sommes aussi importantes, du moins dans un avenir proche. Dans une telle situation, il aurait été usuel de faire signer une reconnaissance de dette, ce qui n'a pas été le cas. Si le remboursement ne devait intervenir que longtemps plus tard (comme on peut l'imaginer), la question d'un intérêt pouvait se poser et le recourant ne prétend pas que les parties en auraient parlé. Surtout, dans la situation de l'intimée, il aurait paru normal que les parties traitent de la durée du prêt (cf. Schärer/Maurenbrecher, op. cit., n° 3a ad art. 312 CO ) et des modalités de remboursement. Le recourant ne prétend pas et n'établit pas que ces questions aient été examinées par les parties. Il est symptomatique d'observer qu'il n'a parlé de remboursement (en procédant à une mise en demeure) qu'à un moment où les parties se trouvaient dans une situation conflictuelle.</w:t>
      </w:r>
    </w:p>
    <w:p>
      <w:r>
        <w:t>Si l'on considère l'ensemble de ces éléments, on ne saurait dire que la cour cantonale est tombée dans l'arbitraire en concluant que le recourant n'est pas parvenu à prouver que les parties se seraient mises d'accord sur une obligation de rembourser à la charge de l'intimée. En l'absence d'un tel accord, l'existence d'un prêt de consommation - sur laquelle est fondée la demande - a été niée sans violer l' art. 312 CO .</w:t>
      </w:r>
    </w:p>
    <w:p>
      <w:r>
        <w:rPr>
          <w:b/>
        </w:rPr>
        <w:t>E. 3</w:t>
      </w:r>
    </w:p>
    <w:p>
      <w:r>
        <w:t>Il résulte des considérations qui précèdent que le recours doit être rejeté.</w:t>
      </w:r>
    </w:p>
    <w:p>
      <w:r>
        <w:t>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