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12/2012 vom 10. Juli 2012</w:t>
      </w:r>
    </w:p>
    <w:p>
      <w:r>
        <w:t>Bundesgericht, 2012-07-10, FR</w:t>
      </w:r>
    </w:p>
    <w:p>
      <w:r>
        <w:rPr>
          <w:b/>
        </w:rPr>
        <w:t xml:space="preserve">Quelle: </w:t>
      </w:r>
      <w:r>
        <w:t>https://mcp.opencaselaw.ch/entscheid/bger_4A_12_2012</w:t>
      </w:r>
    </w:p>
    <w:p>
      <w:r>
        <w:t>FR: TF 4A 12/2012 du 10 juillet 2012</w:t>
      </w:r>
    </w:p>
    <w:p>
      <w:r>
        <w:t>IT: TF 4A 12/2012 del 10 luglio 2012</w:t>
      </w:r>
    </w:p>
    <w:p>
      <w:pPr>
        <w:pStyle w:val="Heading2"/>
      </w:pPr>
      <w:r>
        <w:t>Regeste</w:t>
      </w:r>
    </w:p>
    <w:p>
      <w:r>
        <w:t>bail à loyer | Droit des contrats</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15'000 fr. prévu en matière de droit du bail à loyer (art. 51 al. 1 let. a et 74 al. 1 let. a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rPr>
          <w:b/>
        </w:rPr>
        <w:t>E. 2</w:t>
      </w:r>
    </w:p>
    <w:p>
      <w:r>
        <w:t>Le succès de toute action soumise au droit civil fédéral suppose que les parties au procès aient respectivement, sur chacune des prétentions en cause, qualité pour agir et pour défendre au regard de ce droit; il s'agit de points décisifs que le juge doit élucider d'office ( ATF 136 III 365 consid. 2.1 p. 367; 126 III 59 consid. 1a p. 63; 125 III 82 consid. 1a p. 83). Dans l'action intentée par le bailleur sur la base du contrat de bail à loyer, la qualité pour défendre appartient au locataire obligé selon l' art. 253 CO . En cas de bail commun conclu par plusieurs locataires pour l'usage de la même chose louée, la qualité pour défendre appartient à chacun d'eux et tous sont en principe débiteurs du loyer et des dommages-intérêts à acquitter, le cas échéant, par suite d'une restitution tardive de la chose (cf. arrêt 4C.103/2006 du 3 juillet 2006, consid. 4, SJ 2007 I 1; David Lachat, Le bail à loyer, 2008, n° 6.5 p. 637). Dans la présente affaire, B.________ conteste être partie au contrat conclu par la demanderesse le 10 janvier 2000; pour le surplus, il ne met pas en doute que cette partie-ci puisse effectivement prétendre à des dommages-intérêts pour restitution tardive.</w:t>
      </w:r>
    </w:p>
    <w:p>
      <w:r>
        <w:rPr>
          <w:b/>
        </w:rPr>
        <w:t>E. 3</w:t>
      </w:r>
    </w:p>
    <w:p>
      <w:r>
        <w:t>B.________ n'a pas personnellement signé le contrat. Il n'est donc obligé, le cas échéant, qu'à raison de la signature de A.________, par l'effet d'un pouvoir de représentation. A.________ déclarait contracter pour lui-même et aussi au nom de ses associés. La Cour de justice retient qu'il existait, lors de la conclusion du contrat de bail à loyer, un contrat de société simple entre A.________ et ses associés, y compris B.________, et que A.________ était présumé les représenter, envers la demanderesse, conformément à l' art. 543 al. 3 CO . L'existence du contrat de société simple, lequel avait pour objet l'exercice d'une activité professionnelle dans des locaux communs, est déduite des lettres signées par B.________ sur le papier à en-tête «A.________ - B.________ &amp; Associés », ainsi que du procès qui a été entrepris dès la résiliation du contrat de bail à loyer au nom des six associés, avec B.________ parmi eux. A l'appui du recours en matière civile, B.________ conteste s'être jamais associé à A.________ et il affirme n'avoir jamais exercé aucune activité dans les locaux de la rue des .... Il allègue longuement de nombreux faits, concernant sa propre activité d'avocat à Genève et la nature des relations professionnelles qui ont réellement existé entre lui et A.________; ces faits ne sont toutefois pas constatés dans la décision attaquée et l' art. 105 al. 1 LTF n'habilite donc pas le Tribunal fédéral à les prendre en considération. B.________ conteste avoir été impliqué dans le procès concernant les locaux de la rue des ...; en revanche, il ne conteste pas avoir signé deux lettres établies sur le papier à en-tête «A.________ - B.________ &amp; Associés » et il ne s'explique guère à ce sujet.</w:t>
      </w:r>
    </w:p>
    <w:p>
      <w:r>
        <w:rPr>
          <w:b/>
        </w:rPr>
        <w:t>E. 4</w:t>
      </w:r>
    </w:p>
    <w:p>
      <w:r>
        <w:t>Savoir si B.________ s'est lié à A.________ par un contrat de société simple, et dans l'affirmative dès quel moment, est une question de droit que le Tribunal fédéral examine librement, sur la base des faits constatés. La Cour de justice n'a pas constaté de manifestations de volonté expresses, réciproques et concordantes entre A.________ et B.________, ayant pour objet de faire naître un contrat de société simple conformément à l' art. 1er CO . L'utilisation d'un papier à en-tête «A.________ - B.________ &amp; Associés », au su de B.________ et même par celui-ci, permet cependant d'inférer qu'un pareil contrat avait été conclu au moins tacitement, donc valablement au regard de l' art. 1er al. 2 CO , et que B.________ le savait et l'acceptait. En revanche, la conduite d'un procès au nom des six associés, avec parmi eux B.________, ne permet pas d'imputer à celui-ci, avec une certitude suffisante, l'acceptation d'un rapport de société avec A.________. Il n'est pas constaté que l'avocat accomplissant les actes du procès ait jamais déposé une procuration souscrite aussi par B.________, et d'ordinaire, les avocats n'étaient pas astreints à remettre des procurations de leurs clients devant les tribunaux genevois. Devant le Tribunal fédéral, A.________ a prétendu représenter B.________ alors qu'il n'y était pas autorisé, ce qui accentue encore l'équivoque. L'utilisation d'un papier à en-tête «A.________ - B.________ &amp; Associés », à l'automne de 2000, ne permet pas de retenir que le rapport de société simple, entre A.________ et B.________, ait débuté déjà avant le 10 janvier 2000, jour de la conclusion du contrat de bail à loyer. Or, ce point est décisif pour l'issue de la contestation: au regard de l' art. 543 al. 3 CO , A.________ ne pouvait représenter que les personnes avec qui il se trouvait en société à cette date. A supposer que B.________ ne se soit associé que plus tard, la relation contractuelle nouée avec la demanderesse le 10 janvier 2000 n'en a pas été modifiée et ce nouvel associé n'est pas devenu partie au contrat de bail à loyer. D'une manière générale, lorsque le locataire autorise un tiers à partager les locaux loués, ce dernier n'entre pas de plein droit dans une relation contractuelle avec le bailleur (Laura Jacquemoud-Rossari, Jouissance et titularité du bail ou quelques questions choisies en rapport avec le bail commun, CdB 1999 p. 98; Richard Permann, Der gemeinsame Mietvertrag [...], mp 1997 p. 192). Enfin, les deux lettres du 24 octobre et du 16 novembre 2000, signées par B.________, ne portaient pas sur l'éventuelle adhésion d'un nouvel associé au contrat de bail à loyer. Les constatations de la décision attaquée ne suffisent donc pas à établir la qualité pour défendre de B.________. Il est nécessaire que la juridiction cantonale détermine si les preuves disponibles, déjà administrées ou encore offertes, telles les documents auxquels la demanderesse fait allusion dans sa réponse au recours, permettent de conclure à un commencement du rapport de société simple déjà avant le 10 janvier 2000. A cette fin, la cause doit être renvoyée à la Cour de justice conformément aux conclusions subsidiaires prises devant le Tribunal fédéral.</w:t>
      </w:r>
    </w:p>
    <w:p>
      <w:r>
        <w:rPr>
          <w:b/>
        </w:rPr>
        <w:t>E. 5</w:t>
      </w:r>
    </w:p>
    <w:p>
      <w:r>
        <w:t>A titre de partie qui succombe, la demanderesse et intimée doit acquitter l'émolument à percevoir par le Tribunal fédéral. Le recourant procède personnellement et il ne lui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