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4A_12/2007 vom 3. Juli 2007</w:t>
      </w:r>
    </w:p>
    <w:p>
      <w:r>
        <w:t>Bundesgericht, 2007-07-03, FR</w:t>
      </w:r>
    </w:p>
    <w:p>
      <w:r>
        <w:rPr>
          <w:b/>
        </w:rPr>
        <w:t xml:space="preserve">Quelle: </w:t>
      </w:r>
      <w:r>
        <w:t>https://mcp.opencaselaw.ch/entscheid/bger_4A_12_2007</w:t>
      </w:r>
    </w:p>
    <w:p>
      <w:r>
        <w:t>FR: TF 4A_12/2007 du 3 juillet 2007</w:t>
      </w:r>
    </w:p>
    <w:p>
      <w:r>
        <w:t>IT: TF 4A_12/2007 del 3 luglio 2007</w:t>
      </w:r>
    </w:p>
    <w:p>
      <w:pPr>
        <w:pStyle w:val="Heading2"/>
      </w:pPr>
      <w:r>
        <w:t>Erwägungen</w:t>
      </w:r>
    </w:p>
    <w:p>
      <w:r>
        <w:rPr>
          <w:b/>
        </w:rPr>
        <w:t>E. 1</w:t>
      </w:r>
    </w:p>
    <w:p>
      <w:r>
        <w:t>L'arrêt attaqué a été rendu après l'entrée en vigueur, le 1er janvier 2007, de la loi sur le Tribunal fédéral du 17 juin 2005 (LTF; RS 173.110), de sorte que le présent recours est soumis au nouveau droit ( art. 132 al. 1 LTF ).</w:t>
      </w:r>
    </w:p>
    <w:p>
      <w:r>
        <w:rPr>
          <w:b/>
        </w:rPr>
        <w:t>E. 2.1</w:t>
      </w:r>
    </w:p>
    <w:p>
      <w:r>
        <w:t>Formé par la partie qui a succombé dans ses conclusions condamnatoires ( art. 76 al. 1 LTF ) et dirigé contre un arrêt final ( art. 90 LTF ) rendu en matière civile ( art. 72 al. 1 LTF ) par une autorité cantonale de dernière instance ( art. 75 LTF ) dans une affaire pécuniaire dont la valeur litigieuse dépasse largement le seuil de 15'000 fr. applicable en matière de droit du travail ( art. 74 al. 1 let. a LTF ), le recours en matière civile est en principe recevable, puisqu'il a été déposé dans le délai ( art. 100 al. 1 LTF ) et la forme ( art. 42 LTF ) prévus par la loi.</w:t>
      </w:r>
    </w:p>
    <w:p>
      <w:r>
        <w:rPr>
          <w:b/>
        </w:rPr>
        <w:t>E. 2.2</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in fine, 297 consid. 3.1).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2.3</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w:t>
      </w:r>
    </w:p>
    <w:p>
      <w:r>
        <w:rPr>
          <w:b/>
        </w:rPr>
        <w:t>E. 2.4</w:t>
      </w:r>
    </w:p>
    <w:p>
      <w:r>
        <w:t>Le Tribunal fédéral ne peut aller au-delà des conclusions des parties ( art. 107 al. 1 LTF ). Toute conclusion nouvelle est irrecevable ( art. 99 al. 2 LTF ).</w:t>
      </w:r>
    </w:p>
    <w:p>
      <w:r>
        <w:rPr>
          <w:b/>
        </w:rPr>
        <w:t>E. 3</w:t>
      </w:r>
    </w:p>
    <w:p>
      <w:r>
        <w:t>Dans son arrêt du 22 janvier 2007, la cour cantonale a pris acte que la demanderesse a choisi de rechercher exclusivement son ancien employeur devant la juridiction des prud'hommes, sans actionner V.________. Examinant les prétentions de la travailleuse au regard de la loi fédérale du 24 mars 1995 sur l'égalité entre femmes et hommes (loi sur l'égalité, LEg; RS 151.1), l'autorité cantonale a successivement analysé et mis en parallèle les rétributions touchées par la demanderesse entre 1998 et 2001 avec les salaires versés par la défenderesse aux deux juristes E.________ et D.________, puis au sous-directeur F.________, et enfin aux collaborateurs G.________ et H.________.</w:t>
      </w:r>
    </w:p>
    <w:p>
      <w:r>
        <w:t>S'agissant de E.________, la Cour d'appel a estimé qu'en fonction du fait qu'il avait été engagé plus de dix ans avant X.________ ainsi qu'au vu des tâches et des responsabilités diverses qui lui avaient été conférées, les salaires dont il a bénéficié entre 1998 et 2001, lesquels dépassaient de 33% à 45% ceux accordés à la demanderesse, ne reflétaient aucune discrimination, cela bien qu'il ne disposât pas d'un brevet d'avocat.</w:t>
      </w:r>
    </w:p>
    <w:p>
      <w:r>
        <w:t>En ce qui concernait D.________, compte tenu qu'il avait été engagé comme juriste huit ans avant X.________, qu'il avait été nommé fondé de pouvoir (alors que la précitée n'était que mandataire commerciale), qu'il avait assumé plus de règlements de sinistres et qu'il s'était occupé de certains dossiers de la direction, aucun indice ne permettait de suspecter une discrimination salariale sexiste lors même que son traitement avait excédé celui de l'intéressée de 28,8% à 49% selon les années. De toute manière, cette différence résultait du fait que D.________, en tant que cadre, avait été mis au bénéfice d'un système de rémunération dépendant des résultats financiers du groupe Zurich; comme C.________, responsable du contentieux, s'était vu offrir le même avantage, on ne saurait considérer que X.________, qui n'en avait pas bénéficié, ait subi une quelconque inégalité salariale à raison du sexe, a poursuivi la cour cantonale.</w:t>
      </w:r>
    </w:p>
    <w:p>
      <w:r>
        <w:t>Pour ce qui est de F.________, sous-directeur de la compagnie depuis 1990, son niveau hiérarchique et ses responsabilités expliquaient qu'il ait eu accès aux avantages du plan salarial lié aux résultats de Y.________, à la différence de X.________.</w:t>
      </w:r>
    </w:p>
    <w:p>
      <w:r>
        <w:t>Quant à G.________, juriste yougoslave engagé onze ans avant la demanderesse, qui s'est notamment occupé du recouvrement mais quasiment jamais du contentieux dans sa phase judiciaire, son salaire excédait certes celui de X.________ d'environ 8'000 fr. entre 1998 et 1999, de 10'000 fr. en 2000 et enfin de 21'000 fr. en 2001. Mais, pour l'autorité cantonale, ces disparités reflétaient simplement la plus grande ancienneté de l'intéressé au sein de la compagnie, son âge et sa situation de famille.</w:t>
      </w:r>
    </w:p>
    <w:p>
      <w:r>
        <w:t>H.________, titulaire d'un certificat de maturité, est entré au service de la défenderesse en tant que spécialiste de la prévoyance professionnelle quelques mois seulement avant la demanderesse. Si sa rémunération pour 1998 (115'530 fr.) avait dépassé de 18 % celle octroyée à X.________, qui se montait à 97'875 fr., c'est parce qu'il avait obtenu de recevoir la même rétribution que celle qu'il touchait chez son précédent employeur. En revanche, son salaire avait stagné par la suite, car il avait déçu les attentes de la compagnie.</w:t>
      </w:r>
    </w:p>
    <w:p>
      <w:r>
        <w:t>L'autorité cantonale a encore ajouté qu'il ne pouvait être procédé à des comparaisons salariales avec deux autres juristes, i.e. L.________ et M.________, étant donné qu'ils n'avaient pas été entendus comme témoins et que leur cas n'avait pas été spécifiquement évoqué durant les enquêtes.</w:t>
      </w:r>
    </w:p>
    <w:p>
      <w:r>
        <w:rPr>
          <w:b/>
        </w:rPr>
        <w:t>E. 4.1</w:t>
      </w:r>
    </w:p>
    <w:p>
      <w:r>
        <w:t>Dans la dernière partie de son recours en matière civile (cf. p. 18 à 20 du mémoire), la recourante soutient qu'en ne donnant pas suite à la requête d'expertise judiciaire qu'elle avait formulée expressément en appel, la cour cantonale a violé les art. 8 al. 3 Cst. , 12 al. 2 LEg et 343 al. 4 CO. Elle expose que l'expertise requise avait pour but de déterminer l'équivalence des fonctions qui lui étaient dévolues par rapport à celles que l'intimée avait attribuées à E.________, D.________, G.________ et H.________. Elle prétend que le refus d'administrer cette offre de preuve constitue de la part de l'autorité cantonale une violation de son devoir de tout mettre en oeuvre pour assurer le respect de l'égalité entre femmes et hommes.</w:t>
      </w:r>
    </w:p>
    <w:p>
      <w:r>
        <w:rPr>
          <w:b/>
        </w:rPr>
        <w:t>E. 4.2</w:t>
      </w:r>
    </w:p>
    <w:p>
      <w:r>
        <w:t>A teneur de l' art. 12 al. 2 LEg , dans sa nouvelle teneur selon le ch. 1 de l'annexe à la LTF, en vigueur depuis le 1er janvier 2007, l'art. 343 du code des obligations est applicable indépendamment de la valeur litigieuse devant les tribunaux cantonaux.</w:t>
      </w:r>
    </w:p>
    <w:p>
      <w:r>
        <w:t>Par ce renvoi à l' art. 343 CO , et singulièrement à l'al. 4 de cette disposition, le droit fédéral impose notamment aux tribunaux cantonaux un devoir d'examen étendu (cf. ATF 130 III 145 consid. 3.1.2 et les références). Ils doivent ainsi veiller, en collaboration avec les parties, à ce que les moyens de preuve soient mentionnés et les preuves administrées (Sabine Steiger-Sackmann, Commentaire de la loi sur l'égalité, n. 12 ad art. 12 LEg ). Si l'équivalence entre les diverses fonctions d'une même entreprise ne saute pas aux yeux ou si elle n'est pas établie par d'autres modes de preuve, les tribunaux cantonaux doivent ordonner des expertises. Les experts doivent alors décider si ces fonctions sont comparables les unes aux autres et déterminer les critères permettant de mettre à jour un cas de discrimination (sur ces points, ATF 130 III 145 ibidem). Le juge qui refuse d'ordonner une expertise requise par une partie consacre une violation de l' art. 12 al. 2 LEg , à moins que l'expertise apparaisse d'emblée inutile, parce que, par exemple, le juge dispose lui-même des connaissances scientifiques nécessaires pour élucider une possible discrimination liée au sexe (Kathrin Klett, Richterliche Prüfungspflicht und Beweiserleichterung, AJP 2001, ch. 3 p. 1295; Monique Cossali Sauvain, Egalité entre femmes et hommes II, FJS n° 545, ch. V p. 21 in fine).</w:t>
      </w:r>
    </w:p>
    <w:p>
      <w:r>
        <w:rPr>
          <w:b/>
        </w:rPr>
        <w:t>E. 4.3</w:t>
      </w:r>
    </w:p>
    <w:p>
      <w:r>
        <w:t>En l'espèce, il a été constaté que la Cour d'appel n'a pas donné suite à la requête d'expertise judiciaire formulée par la recourante en instance d'appel. L'autorité cantonale n'a pas motivé sa décision de refus.</w:t>
      </w:r>
    </w:p>
    <w:p>
      <w:r>
        <w:t>Au vu des considérations jurisprudentielles et doctrinales précédentes, il appert que la cour cantonale a violé le devoir d'examen qui lui incombait en vertu de l' art. 12 al. 2 LEg .</w:t>
      </w:r>
    </w:p>
    <w:p>
      <w:r>
        <w:t>Le principe constitutionnel de l'égalité salariale entre l'homme et la femme (cf. art. 8 al. 3, dernière phrase, Cst.) est fondé sur la notion de travail de valeur égale ( ATF 130 III 145 consid. 3.1.2). Autrement dit, auprès d'un même employeur, la travailleuse a droit à un salaire égal à celui que touche le travailleur s'ils accomplissent tous deux, dans des conditions égales, des tâches semblables ou des travaux, certes de nature différente, mais ayant une valeur identique.</w:t>
      </w:r>
    </w:p>
    <w:p>
      <w:r>
        <w:t>La cour cantonale a tout particulièrement contesté l'équivalence entre les tâches qui étaient exercées au sein de la défenderesse par la demanderesse et celles assumées par les juristes E.________ et D.________. Pourtant cette autorité n'a jamais prétendu avoir des compétences techniques pour comparer les activités de ces trois juristes, qui ne se recoupaient apparemment nullement. Son raisonnement, dépourvu de toute approche méthodologique et scientifique, est du reste fondé sur un choix de critères vagues. Il est tout particulièrement significatif à cet égard que la Cour d'appel a attribué une grande importance à l'ancienneté au sein de la compagnie, alors qu'il a été constaté définitivement ( art. 105 al. 1 LTF ) que cet élément avait perdu de son importance dès 1991 au profit d'un système fondé sur le mérite (cf. consid. F/a p. 8 de l'arrêt cantonal).</w:t>
      </w:r>
    </w:p>
    <w:p>
      <w:r>
        <w:t>Il suit de là que le recours en matière civile doit être admis, l'arrêt critiqué étant annulé. Ce résultat dispense la juridiction fédérale d'examiner les nombreuses critiques de la recourante prises d'une violation singulièrement des art. 8 al. 3 Cst. , 2 al. 2 CC et 6 LEg, qu'elle a développées aux pages 6 à 18 de son mémoire.</w:t>
      </w:r>
    </w:p>
    <w:p>
      <w:r>
        <w:t>Conformément à l' art. 107 al. 2 LTF , le Tribunal fédéral renvoie l'affaire à l'autorité précédente pour qu'elle ordonne l'expertise sollicitée par la recourante.</w:t>
      </w:r>
    </w:p>
    <w:p>
      <w:r>
        <w:rPr>
          <w:b/>
        </w:rPr>
        <w:t>E. 5</w:t>
      </w:r>
    </w:p>
    <w:p>
      <w:r>
        <w:t>Comme la voie du recours en matière civile était ouverte en l'occurrence à considérer la valeur litigieuse déterminante ( art. 74 al. 1 LTF ), le recours constitutionnel subsidiaire est irrecevable ( art. 113 LTF ).</w:t>
      </w:r>
    </w:p>
    <w:p>
      <w:r>
        <w:rPr>
          <w:b/>
        </w:rPr>
        <w:t>E. 6</w:t>
      </w:r>
    </w:p>
    <w:p>
      <w:r>
        <w:t>Les frais judiciaires, calculés par application de l' art. 65 al. 4 let. b LTF , seront mis à la charge de l'intimée, qui succombe ( art. 66 al. 1 LTF ). La recourante a droit à des dépens, dont sa partie adverse est débitrice, car elle était encore assistée par un avocat lorsqu'elle a déposé ses recours au Tribunal fédéral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