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4A_129/2022 vom 27. Oktober 2022</w:t>
      </w:r>
    </w:p>
    <w:p>
      <w:r>
        <w:t>Bundesgericht, 2022-10-27, FR</w:t>
      </w:r>
    </w:p>
    <w:p>
      <w:r>
        <w:rPr>
          <w:b/>
        </w:rPr>
        <w:t xml:space="preserve">Quelle: </w:t>
      </w:r>
      <w:r>
        <w:t>https://mcp.opencaselaw.ch/entscheid/bger_4A_129_2022</w:t>
      </w:r>
    </w:p>
    <w:p>
      <w:r>
        <w:t>FR: TF 4A_129/2022 du 27 octobre 2022</w:t>
      </w:r>
    </w:p>
    <w:p>
      <w:r>
        <w:t>IT: TF 4A_129/2022 del 27 ottobre 2022</w:t>
      </w:r>
    </w:p>
    <w:p>
      <w:pPr>
        <w:pStyle w:val="Heading2"/>
      </w:pPr>
      <w:r>
        <w:t>Erwägungen</w:t>
      </w:r>
    </w:p>
    <w:p>
      <w:r>
        <w:rPr>
          <w:b/>
        </w:rPr>
        <w:t>E. 1</w:t>
      </w:r>
    </w:p>
    <w:p>
      <w:r>
        <w:t>Interjeté en temps utile ( art. 100 al. 1 LTF ) par la partie qui a succombé dans ses conclusions ( art. 76 al. 1 LTF ), le recours est dirigé contre un arrêt final ( art. 90 LTF ) rendu sur appel par un tribunal cantonal supérieur ( art. 75 LTF ) dans une affaire civile de droit du travail ( art. 72 al. 1 LTF ), dont la valeur litigieuse atteint le seuil de 15'000 fr. requis en la matière ( art. 74 al. 1 let. a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Le recourant se plaint d'une violation des art. 13 al. 1, 14 al. 1 et 16 CO, ainsi que de l' art. 2 CC , et conteste la validité du licenciement du 17 novembre 2017.</w:t>
      </w:r>
    </w:p>
    <w:p>
      <w:r>
        <w:t>Le recourant soutient d'abord que le licenciement intervenu le 17 novembre 2017 est entaché d'un vice de forme, dès lors qu'il n'est pas signé par les parties au contrat, alors qu'elles avaient réservé cette forme dans le contrat de travail.</w:t>
      </w:r>
    </w:p>
    <w:p>
      <w:r>
        <w:t>Il soutient ensuite que son comportement contradictoire, lorsqu'il a d'abord reconnu le licenciement avant de se rétracter pour soutenir que celui-ci était entaché d'un vice de forme, ne constitue pas un abus de droit manifeste au sens de la jurisprudence du Tribunal fédéral.</w:t>
      </w:r>
    </w:p>
    <w:p>
      <w:r>
        <w:rPr>
          <w:b/>
        </w:rPr>
        <w:t>E. 3.1.1</w:t>
      </w:r>
    </w:p>
    <w:p>
      <w:r>
        <w:t>L'employeur et le travailleur peuvent résilier immédiatement le contrat en tout temps pour de justes motifs ( art. 337 al. 1 CO ).</w:t>
      </w:r>
    </w:p>
    <w:p>
      <w:r>
        <w:t>La résiliation d'un contrat est un droit formateur (Gestaltungsrecht, diritto formatore); un seul des cocontractants peut modifier unilatéralement, par sa seule manifestation de volonté, la situation juridique de l'autre partie ( ATF 135 III 441 consid. 3.3; 133 III 360 consid. 8.1.1). L'exercice d'un droit formateur est univoque, sans condition et revêt en principe un caractère irrévocable ( ATF 135 III 441 consid. 3.3; 133 III 360 consid. 8.1.1; 128 III 129 consid. 2a).</w:t>
      </w:r>
    </w:p>
    <w:p>
      <w:r>
        <w:t>La résiliation immédiate met fin au contrat en fait et en droit le jour même où elle est communiquée, qu'elle soit justifiée ou non, et qu'elle intervienne ou non pendant une période de protection contre les licenciements en temps inopportun ( ATF 128 III 271 consid. 4a/bb; 117 II 270 consid. 3b; arrêts 4A_395/2018 du 10 décembre 2019 consid. 4.1; 4A_372/2016 du 2 février 2017 consid. 5.1.2 et 5.4; 4C.413/2004 du 10 mars 2005 consid. 2.4).</w:t>
      </w:r>
    </w:p>
    <w:p>
      <w:r>
        <w:rPr>
          <w:b/>
        </w:rPr>
        <w:t>E. 3.1.2</w:t>
      </w:r>
    </w:p>
    <w:p>
      <w:r>
        <w:t>La résiliation d'un contrat de travail n'est pas soumise à une forme particulière. Les parties peuvent cependant convenir de donner une forme spéciale à un contrat pour lequel la loi n'en exige pas ( art. 16 CO ). Elles sont, dans ce cas, réputées n'avoir entendu se lier que dès l'accomplissement de cette forme (al. 1). S'il s'agit de la forme écrite, sans indication plus précise, il y a lieu d'observer les dispositions relatives à cette forme lorsqu'elle est exigée par la loi (al. 2).</w:t>
      </w:r>
    </w:p>
    <w:p>
      <w:r>
        <w:t>Les parties peuvent en tout temps convenir de supprimer la forme réservée (SCHWENZER/FOUNTOULAKIS, Basler Kommentar, 7e éd. 2020, n. 10 ad art. 16 CO , XOUDIS, Commentaire romand du code des obligations I, 3e éd. 2021, n. 26 ad art. 16 CO ). Aucune forme particulière n'est requise en vertu de la loi pour convenir de l'adoption ou de la suppression d'une forme spéciale, de sorte que l' art. 12 CO ne trouve pas application. L'accord peut résulter d'actes concluants ( ATF 139 III 160 consid. 2.6, arrêt 4A_619/2016 du 15 mars 2017 consid. 7.3.1.2).</w:t>
      </w:r>
    </w:p>
    <w:p>
      <w:r>
        <w:rPr>
          <w:b/>
        </w:rPr>
        <w:t>E. 3.2</w:t>
      </w:r>
    </w:p>
    <w:p>
      <w:r>
        <w:t>En l'espèce, la cour cantonale a d'abord retenu que l'accord de résiliation du 17 novembre 2017 n'était pas signé par les parties, mais consistait en une déclaration de volonté de l'employeuse, de résilier le contrat avec effet immédiat. La cour cantonale a retenu que le travailleur avait effectivement compris cette déclaration de volonté de cette manière. Celui-ci a refusé de signer ledit document au motif qu'il estimait que l'employeuse n'était pas fondée à le licencier avec effet immédiat. La cour cantonale n'a pas considéré que l'accord de résiliation était valide en la forme.</w:t>
      </w:r>
    </w:p>
    <w:p>
      <w:r>
        <w:t>Au sujet de la forme adoptée par les parties pour la résiliation du contrat de travail, la cour cantonale a considéré qu'en règle générale, l'acte juridique unilatéral doit être soumis à la forme réservée par les parties, lorsqu'elles l'ont convenu. En l'espèce, les parties avaient convenu de procéder selon la forme écrite. Cependant, elle a relevé que l' art. 16 CO posait une présomption réfragable que la forme réservée était une condition de validité du contrat. Elle a ensuite considéré que l' art. 12 CO ne s'appliquait pas à la suppression ou modification de la forme réservée, dès lors que la loi ne le prévoyait pas en l'espèce. La suppression ou modification de la forme pouvait par conséquent être valablement convenue par actes concluants. Enfin, la cour cantonale a considéré que l'employeuse avait émis une résiliation ne respectant certes pas la condition de la signature manuscrite, mais que le travailleur l'avait acceptée par actes concluants confirmant expressément son licenciement par courrier du 21 novembre 2017 de sa première représentante. Le travailleur avait alors accepté la suppression de la forme prescrite en admettant la résiliation. Son revirement d'opinion intervenu par lettre de son nouveau conseil, du 22 décembre 2017, invoquant un vice de forme, constituait dès lors un comportement contradictoire, incompatible avec les règles de la bonne foi.</w:t>
      </w:r>
    </w:p>
    <w:p>
      <w:r>
        <w:rPr>
          <w:b/>
        </w:rPr>
        <w:t>E. 3.3</w:t>
      </w:r>
    </w:p>
    <w:p>
      <w:r>
        <w:t>Ce faisant, la cour cantonale n'a pas violé le droit. Contrairement à ce que soutient le recourant, elle n'a pas admis la validité du document du 17 novembre 2017 en tant qu'accord des parties. En retenant que ledit document constituait en tout cas une déclaration de volonté unilatérale de mettre fin au contrat, elle a considéré que l'employeuse avait renoncé à utiliser la forme écrite et la signature manuscrite que les parties avaient réservée dans leur contrat. Le recourant a toutefois accepté la renonciation à la forme réservée, dès lors qu'au lieu de se prévaloir d'un vice de forme, il s'y est opposé et a requis les motifs du licenciement par lettre de sa première avocate du 21 novembre 2017.</w:t>
      </w:r>
    </w:p>
    <w:p>
      <w:r>
        <w:t>Le recourant n'ayant pas soulevé de vice de forme, il a ratifié par actes concluants la suppression de l'exigence de forme que les parties avaient jusque là réservée pour toute modification contractuelle. Sa rétractation, intervenue un mois plus tard, après la consultation d'un nouvel avocat, est bien le fruit d'un comportement contradictoire contraire au principe de la bonne foi. Admettre le contraire reviendrait à vider de toute substance la possibilité pour les parties de renoncer par actes concluants, à l'exigence de forme qu'elles ont elles-mêmes aménagée dans leur relation contractuelle. Cela aurait pour effet de rendre nul pour vice de forme, tout accord tacite des parties qui conviendraient, sans observer la forme réservée par elles, de mettre fin à leur contrat. Sont réservés les cas prévus par l' art. 12 CO , dans lesquels la loi impose une forme particulière à la conclusion du contrat, ou lorsqu'une norme impérative impose une forme à la résiliation afin de protéger la partie dite " faible " au contrat.</w:t>
      </w:r>
    </w:p>
    <w:p>
      <w:r>
        <w:t>Tel est le cas dans les arrêts cités par le recourant à l'appui de son argumentation, et c'est pour cette raison que ceux-ci ne s'appliquent pas au cas d'espèce. Ainsi, le travailleur peut être protégé par une norme impérative imposant le recours à la forme écrite pour renoncer au paiement d'heures supplémentaires (4A_172/2012 du 22 août 2012 consid. 6.2), ou le locataire, par le caractère obligatoire de l'utilisation d'une formule officielle agréée par le canton ( ATF 140 III 583 consid. 3.3.1). Dans le cas d'espèce, le recourant n'est ni au bénéfice d'une norme prévoyant l'utilisation de la forme écrite ( art. 12 CO ), ni d'une norme de protection de la partie dite " faible " au contrat, de sorte qu'il lui était loisible de renoncer par actes concluants à l'utilisation de l'exigence de forme, ce qu'il a fait en s'accommodant de l'absence de forme écrite. Il ne peut dès lors se prévaloir de l'absence d'utilisation de cette forme prescrite un mois plus tard, sans adopter un comportement contradictoire, incompatible avec les règles de la bonne foi.</w:t>
      </w:r>
    </w:p>
    <w:p>
      <w:r>
        <w:t>Le grief doit par conséquent être rejeté.</w:t>
      </w:r>
    </w:p>
    <w:p>
      <w:r>
        <w:rPr>
          <w:b/>
        </w:rPr>
        <w:t>E. 4.1</w:t>
      </w:r>
    </w:p>
    <w:p>
      <w:r>
        <w:t>Le recourant reproche à la cour cantonale d'avoir violé l' art. 349a al. 2 CO en considérant qu'il n'y avait pas lieu de déterminer le salaire convenable du travailleur. Le recourant soutient qu'il aurait dû recevoir la différence entre la rémunération qu'il a perçue et le salaire convenable qu'il aurait dû recevoir - qu'il estime à présent à 4'000 fr. bruts par mois - soit un montant de 26'880 fr. Le recourant soutient que le système mis en place par l'employeuse ne permettait pas de réaliser un revenu convenable.</w:t>
      </w:r>
    </w:p>
    <w:p>
      <w:r>
        <w:rPr>
          <w:b/>
        </w:rPr>
        <w:t>E. 4.2.1</w:t>
      </w:r>
    </w:p>
    <w:p>
      <w:r>
        <w:t>Dans un grief subsidiaire qu'il convient de traiter en premier, le recourant conteste sous l'angle de la constatation manifestement inexacte des faits, les performances financières réalisées par ses collègues, sur lesquelles la cour cantonale se serait fondée pour considérer que lui-même avait obtenu des performances insuffisantes.</w:t>
      </w:r>
    </w:p>
    <w:p>
      <w:r>
        <w:t>Le recourant conteste les montants retenus par la cour cantonale a titre de commissions réalisées par ses collègues durant les premiers mois de leurs engagements respectifs. En particulier, il conteste les chiffres retenus à titre de performances financières réalisées par C.________, D.________ et E.________.</w:t>
      </w:r>
    </w:p>
    <w:p>
      <w:r>
        <w:t>Le recourant indique que les chiffres retenus par la cour cantonale doivent encore faire l'objet de retranchements, en raison du fait que les conseillers touchaient une part réduite des commissions totales sur les anciens clients, ainsi que de déductions des parts qui revenaient à leurs assistants.</w:t>
      </w:r>
    </w:p>
    <w:p>
      <w:r>
        <w:rPr>
          <w:b/>
        </w:rPr>
        <w:t>E. 4.2.2</w:t>
      </w:r>
    </w:p>
    <w:p>
      <w:r>
        <w:t>Cependant, le recourant ne démontre pas en quoi l'appréciation de la cour cantonale serait arbitraire. Le recourant s'appuie certes sur des titres déposés en procédure par lui-même ou la défenderesse en première instance, mais n'indique pas avoir contesté la version retenue par le tribunal de première instance, devant la cour cantonale. De plus, le recourant ne parvient pas à démontrer que la cour cantonale aurait versé dans l'arbitraire en retenant les montants qui fondent sa décision (cf. consid. 2.2 ci-dessus). A la version retenue par la cour cantonale, le recourant se limite à opposer sa propre version.</w:t>
      </w:r>
    </w:p>
    <w:p>
      <w:r>
        <w:t>Quoi qu'il en soit, la cour cantonale ne s'est pas fondée uniquement sur les résultats financiers de les collègues du travailleur pour en déduire qu'il avait fourni des prestations insuffisantes, mais également sur les témoignages de ses supérieurs, lesquels ne sont pas critiqués par le recourant.</w:t>
      </w:r>
    </w:p>
    <w:p>
      <w:r>
        <w:t>Par conséquent, le grief de l'établissement manifestement inexact des faits doit être déclaré irrecevable.</w:t>
      </w:r>
    </w:p>
    <w:p>
      <w:r>
        <w:rPr>
          <w:b/>
        </w:rPr>
        <w:t>E. 4.3</w:t>
      </w:r>
    </w:p>
    <w:p>
      <w:r>
        <w:t>Pour ce qui a trait à la détermination de la rémunération du travailleur, lorsque le salarié est rémunéré de manière exclusive ou prépondérante par des provisions, celles-ci doivent alors représenter une rémunération convenable, telle que l'entend l' art. 349a al. 2 CO dans le cadre du contrat d'engagement des voyageurs de commerce ( ATF 139 III 214 consid. 5.1).</w:t>
      </w:r>
    </w:p>
    <w:p>
      <w:r>
        <w:t>Le caractère "convenable" d'une rétribution est en principe une notion de droit, susceptible d'être revue par le Tribunal fédéral s'agissant du choix des critères selon lesquels il en est décidé; l'application de ces critères dépend de questions de fait qui doivent être examinées par l'autorité cantonale. Il convient de contrôler de cas en cas si la rémunération du voyageur de commerce peut être qualifiée de convenable. Le Tribunal fédéral n'intervient que si l'autorité cantonale a abusé de son pouvoir d'appréciation ( art. 4 CC ), c'est-à-dire si elle a retenu des critères inappropriés ( ATF 129 III 400 consid. 3.1), si la décision rendue aboutit à un résultat manifestement injuste ou à une iniquité choquante ( ATF 129 III 664 consid. 6; 128 III 390 consid. 4.5, 428 consid. 4; 127 III 300 consid. 6b).</w:t>
      </w:r>
    </w:p>
    <w:p>
      <w:r>
        <w:t>L'idée à la base de l' art. 349a al. 2 CO est d'éviter que l'employeur n'exploite le voyageur en lui promettant exclusivement ou principalement des commissions qui se révèlent par la suite insuffisantes ( ATF 83 II 78 ; ENGEL, Contrats de droit suisse, 2e éd. 2000, p. 413). Une provision est convenable si elle assure au voyageur un gain qui lui permette de vivre décemment, compte tenu de son engagement au travail (Arbeitseinsatz), de sa formation, de ses années de service, de son âge et de ses obligations sociales (STAEHELIN, Zürcher Kommentar, 4e éd. 2014, n. 4 ad art. 349a CO ). La rémunération du voyageur dépend très étroitement des conditions que l'employeur lui fixe pour pouvoir négocier ou conclure des affaires. On doit aussi tenir compte, comme ligne directrice, des usages de la branche ( ATF 129 III 664 consid. 6.1).</w:t>
      </w:r>
    </w:p>
    <w:p>
      <w:r>
        <w:rPr>
          <w:b/>
        </w:rPr>
        <w:t>E. 4.4</w:t>
      </w:r>
    </w:p>
    <w:p>
      <w:r>
        <w:t>En l'espèce, la cour cantonale a retenu en fait que le travailleur avait perçu, entre mars et décembre 2017, une rémunération brute de 25'129 fr., équivalant à une rémunération nette de 22'881 fr. soit 2'288 fr. 10 nets par mois. La cour cantonale a considéré que cette rémunération était faible, mais trouvait sa raison d'être non pas dans le fait que les commissions convenues étaient trop basses, mais dans le fait que les prestations du travailleur étaient insuffisantes.</w:t>
      </w:r>
    </w:p>
    <w:p>
      <w:r>
        <w:t>En effet, la cour cantonale a retenu à la lumière des témoignages de ses superviseurs, que le travailleur n'avait pas fourni les prestations qui étaient attendues de lui en termes de performances commerciales. En particulier, F.________, qui occupait le poste de " compliance manager " avait indiqué que le travailleur n'était pas bon sur le plan administratif et que sa performance était " pauvre " et " pas bonne ". Il commettait, selon elle, des erreurs et des imprécisions, et pensait que celles-ci pouvaient avoir été commises à dessein. En effet, elle pensait que les données inscrites dans le système par le travailleur n'étaient pas toujours fondées sur la réalité. D.________, le supérieur opérationnel du travailleur, avait déclaré que les performances du travailleur avaient été décevantes, et que malgré les formations et le soutien qu'il avait reçus, il ne suivait pas les conseils prodigués. Le travailleur préférait sa propre façon de travailler mais n'obtenait pas les résultats attendus. Il promettait systématiquement des affaires, qui ne se concrétisaient pas. Au vu de l'absence de résultats, le travailleur avait dû suivre un plan personnel de développement, qui n'avait pas porté ses fruits et il n'avait réalisé qu'environ 7% à 8% de ce qui pouvait être attendu d'un consultant.</w:t>
      </w:r>
    </w:p>
    <w:p>
      <w:r>
        <w:t>En outre, le travailleur a réalisé très peu d'affaires durant son activité pour l'employeuse. Un tel critère, envisagé seul, ne suffirait pas pour déterminer si les commissions prévues étaient convenables, dès lors qu'il est possible qu'un faible nombre d'affaires conclues puisse être usuel dans la branche. Or, la cour cantonale s'est fondée sur la comparaison avec les résultats de trois collègues du recourant durant leurs neuf premiers mois d'engagement auprès de l'employeuse, étant entendu que les premiers mois de travail sont ceux durant lesquels la conclusion d'affaires est la plus ardue. Deux de ces collègues avaient réalisé des commissions de GBP 30'000, respectivement de GBP 44'573 pour les neuf premiers mois, tandis que le travailleur en avait généré que GBP 7'299 durant ses neuf premiers mois. Un troisième collègue du travailleur, qui avait eu de la peine à réaliser des commissions au début de son activité et fait l'objet de plans d'amélioration des performances, tout comme le recourant, avait atteint 65% de ses objectifs, qui étaient de l'ordre de GBP 10'000 par mois.</w:t>
      </w:r>
    </w:p>
    <w:p>
      <w:r>
        <w:t>Au regard de ces éléments, la cour cantonale a considéré que si le travailleur avait perçu une rémunération faible en vertu de son contrat, ce n'était pas en raison d'une fixation de commissions ne permettant pas d'obtenir une rémunération convenable pour l'activité du travailleur et le temps qu'il y a consacré, mais bien en raison de son incapacité à réaliser des affaires.</w:t>
      </w:r>
    </w:p>
    <w:p>
      <w:r>
        <w:rPr>
          <w:b/>
        </w:rPr>
        <w:t>E. 4.5</w:t>
      </w:r>
    </w:p>
    <w:p>
      <w:r>
        <w:t>Dès lors qu'en vertu du même contrat, les collègues du travailleur pouvaient, eux, réaliser un revenu nettement supérieur au sien, les conditions prévues par le contrat de travail ne sont effectivement pas en cause. La cour cantonale n'a donc pas violé le droit en se fondant sur l'inadéquation de l'activité du travailleur au regard des instructions reçues de l'employeuse par l'intermédiaire de ses superviseurs.</w:t>
      </w:r>
    </w:p>
    <w:p>
      <w:r>
        <w:t>Contrairement à ce que soutient le recourant, la cour cantonale ne s'est pas arrêtée aux résultats obtenus par le travailleur, mais également à l'appréciation de ses supérieurs, indiquant que les prestations fournies n'étaient pas en corrélation avec les instructions reçues. La cour cantonale n'a donc pas violé le droit, de sorte que le grief du recourant doit être rejeté.</w:t>
      </w:r>
    </w:p>
    <w:p>
      <w:r>
        <w:rPr>
          <w:b/>
        </w:rPr>
        <w:t>E. 5</w:t>
      </w:r>
    </w:p>
    <w:p>
      <w:r>
        <w:t>Au vu de ce qui précède, le recours doit être rejeté dans la mesure où il est recevable. Le recourant qui succombe, prendra à sa charge les frais de la procédure et versera à l'intimée une indemnité de dépens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