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4A_129/2016 vom 20. April 2016</w:t>
      </w:r>
    </w:p>
    <w:p>
      <w:r>
        <w:t>Bundesgericht, 2016-04-20, DE</w:t>
      </w:r>
    </w:p>
    <w:p>
      <w:r>
        <w:rPr>
          <w:b/>
        </w:rPr>
        <w:t xml:space="preserve">Quelle: </w:t>
      </w:r>
      <w:r>
        <w:t>https://mcp.opencaselaw.ch/entscheid/bger_4A_129_2016</w:t>
      </w:r>
    </w:p>
    <w:p>
      <w:r>
        <w:t>FR: TF 4A_129/2016 du 20 avril 2016</w:t>
      </w:r>
    </w:p>
    <w:p>
      <w:r>
        <w:t>IT: TF 4A_129/2016 del 20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4A_129/2016</w:t>
      </w:r>
    </w:p>
    <w:p>
      <w:r>
        <w:t>Urteil vom 20. April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Rechtsschutz in klaren Fällen; Zugang zum Stromzähler,</w:t>
      </w:r>
    </w:p>
    <w:p>
      <w:r>
        <w:t>Beschwerde gegen das Urteil des Obergerichts</w:t>
      </w:r>
    </w:p>
    <w:p>
      <w:r>
        <w:t>des Kantons Solothurn vom 19. Januar 2016.</w:t>
      </w:r>
    </w:p>
    <w:p>
      <w:r>
        <w:t>In Erwägung,</w:t>
      </w:r>
    </w:p>
    <w:p>
      <w:r>
        <w:t>dass die Beschwerdeführerin gegen das Urteil des Obergerichts des Kantons Solothurn vom 19. Januar 2016 mit Eingabe vom 25. Februar 2016 Beschwerde erhoben hat;</w:t>
      </w:r>
    </w:p>
    <w:p>
      <w:r>
        <w:t>dass die Beschwerdeführerin den ihr auferlegten Kostenvorschuss auch innerhalb der mit Verfügung vom 22. März 2016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Obergericht des Kantons Solothurn schriftlich mitgeteilt.</w:t>
      </w:r>
    </w:p>
    <w:p>
      <w:r>
        <w:t>Lausanne, 20. April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