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128/2023 vom 2. März 2023</w:t>
      </w:r>
    </w:p>
    <w:p>
      <w:r>
        <w:t>Bundesgericht, 2023-03-02, DE</w:t>
      </w:r>
    </w:p>
    <w:p>
      <w:r>
        <w:rPr>
          <w:b/>
        </w:rPr>
        <w:t xml:space="preserve">Quelle: </w:t>
      </w:r>
      <w:r>
        <w:t>https://mcp.opencaselaw.ch/entscheid/bger_4A_128_2023</w:t>
      </w:r>
    </w:p>
    <w:p>
      <w:r>
        <w:t>FR: TF 4A 128/2023 du 2 mars 2023</w:t>
      </w:r>
    </w:p>
    <w:p>
      <w:r>
        <w:t>IT: TF 4A 128/2023 del 2 marzo 2023</w:t>
      </w:r>
    </w:p>
    <w:p>
      <w:pPr>
        <w:pStyle w:val="Heading2"/>
      </w:pPr>
      <w:r>
        <w:t>Regeste</w:t>
      </w:r>
    </w:p>
    <w:p>
      <w:r>
        <w:t>Darlehensvertrag, Aberkennungsklage, | Vertragsrecht</w:t>
      </w:r>
    </w:p>
    <w:p>
      <w:pPr>
        <w:pStyle w:val="Heading2"/>
      </w:pPr>
      <w:r>
        <w:t>Erwägungen</w:t>
      </w:r>
    </w:p>
    <w:p>
      <w:r>
        <w:rPr>
          <w:b/>
        </w:rPr>
        <w:t>E. 1</w:t>
      </w:r>
    </w:p>
    <w:p>
      <w:r>
        <w:t>Mit Entscheid vom 21. September 2022 trat das Bezirksgericht Arbon auf die von den Beschwerdeführerinnen gegen den Beschwerdegegner erhobenen Aberkennungsklagen zufolge Nichtleistens der auferlegten Sicherheit nicht ein. Mit Zirkularentscheid vom 17. Januar 2023 wies das Obergericht des Kantons Thurgau das Gesuch der Beschwerdeführerinnen, die Berufungsfrist wiederherzustellen, ab, soweit es darauf eintrat. Gleichzeitig trat es auf die von den Beschwerdeführerinnen gegen den bezirksgerichtlichen Entscheid vom 21. September 2022 erhobene Berufung nicht ein. Mit Eingabe vom 27. Februar 2023 erklärten die Beschwerdeführerinnen dem Bundesgericht, den Zirkularentscheid des Obergerichts des Kantons Thurgau vom 17. Januar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Beschwerdeführerinnen setzen sich in ihrer Beschwerdeeingabe vom 27. Februar 2023 nicht hinreichend mit den Erwägungen des angefochtenen Entscheids des Obergerichts des Kantons Thurgau vom 17. Januar 2023 auseinander und zeigen nicht rechtsgenügend auf, inwiefern die Vorinstanz mit ihrem Entscheid Bundesrecht verletzt hätte. Stattdessen reichen sie dem Bundesgericht in unzulässiger Weise ein neues Beweismittel in Form eines Arztzeugnisses vom 20. Januar 2023 betreffend ihren Verwaltungsrat ein. 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Der Beschwerdegegner hat keinen Anspruch auf eine Parteientschädigung, da ihm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