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4A_126/2022 vom 7. Juli 2022</w:t>
      </w:r>
    </w:p>
    <w:p>
      <w:r>
        <w:t>Bundesgericht, 2022-07-07, FR</w:t>
      </w:r>
    </w:p>
    <w:p>
      <w:r>
        <w:rPr>
          <w:b/>
        </w:rPr>
        <w:t xml:space="preserve">Quelle: </w:t>
      </w:r>
      <w:r>
        <w:t>https://mcp.opencaselaw.ch/entscheid/bger_4A_126_2022</w:t>
      </w:r>
    </w:p>
    <w:p>
      <w:r>
        <w:t>FR: TF 4A_126/2022 du 7 juillet 2022</w:t>
      </w:r>
    </w:p>
    <w:p>
      <w:r>
        <w:t>IT: TF 4A_126/2022 del 7 luglio 2022</w:t>
      </w:r>
    </w:p>
    <w:p>
      <w:pPr>
        <w:pStyle w:val="Heading2"/>
      </w:pPr>
      <w:r>
        <w:t>Erwägungen</w:t>
      </w:r>
    </w:p>
    <w:p>
      <w:r>
        <w:rPr>
          <w:b/>
        </w:rPr>
        <w:t>E. 1</w:t>
      </w:r>
    </w:p>
    <w:p>
      <w:r>
        <w:t>Interjeté dans le délai fixé par la loi ( art. 100 al. 1 LTF ) par la défenderesse, qui a succombé dans ses conclusions ( art. 76 al. 1 LTF ), et dirigé contre une décision finale ( art. 90 LTF ) rendue sur appel par le tribunal supérieur du canton de Genève ( art. 75 LTF ) dans une affaire civile de droit du travail ( art. 72 al. 1 LTF ) dont la valeur litigieuse dépasse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Dans un premier moyen, la recourante reproche à la cour cantonale d'avoir constaté et apprécié de manière arbitraire les faits et d'avoir arbitrairement interprété la volonté subjective des parties au sujet de la méthode de calcul relative à la participation du travailleur au chiffre d'affaires.</w:t>
      </w:r>
    </w:p>
    <w:p>
      <w:r>
        <w:rPr>
          <w:b/>
        </w:rPr>
        <w:t>E. 3.1.1</w:t>
      </w:r>
    </w:p>
    <w:p>
      <w:r>
        <w:t>La modification du contrat n'est qu'une modalité particulière de la formation du contrat et, partant, obéit aux mêmes règles que celles qui régissent la formation du contrat, soit aux art. 1 ss et 18 CO (arrêts 4A_402/2021 du 14 mars 2022 consid. 3.1; 4A_556/2019 du 29 septembre 2020 consid. 5.1; 4A_431/2019 du 27 février 2020 consid. 5.2; TERCIER/PICHONNAZ, Le droit des obligations, 6e éd. 2019, p. 146 n. 607).</w:t>
      </w:r>
    </w:p>
    <w:p>
      <w:r>
        <w:rPr>
          <w:b/>
        </w:rPr>
        <w:t>E. 3.1.2</w:t>
      </w:r>
    </w:p>
    <w:p>
      <w:r>
        <w:t>En droit suisse des contrats, la question de savoir si les parties ont conclu un accord est soumise au principe de la priorité de la volonté subjective sur la volonté objective ( ATF 144 III 93 consid. 5.2.1; 123 III 35 consid. 2b).</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w:t>
      </w:r>
    </w:p>
    <w:p>
      <w:r>
        <w:t>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 arrêts 4A_402/2021 précité consid. 3.2; 4A_643/2020 du 22 octobre 2021 consid. 4.1 et la référence citée).</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w:t>
      </w:r>
    </w:p>
    <w:p>
      <w:r>
        <w:t>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3.2</w:t>
      </w:r>
    </w:p>
    <w:p>
      <w:r>
        <w:t>Le tribunal a retenu que la participation au chiffre d'affaires promise au travailleur avait pour but de l'encourager à déployer une activité visant à augmenter les bénéfices de l'établissement et à le récompenser pour ses efforts. Il était donc compréhensible que les chiffres d'affaires générés par les événements organisés par la galerie d'art et les consommations de la famille du gérant ne soient pas pris en compte car ils ne résultaient pas de l'activité du travailleur. Dès lors, la nouvelle manière de calculer le chiffre d'affaires après août 2015 n'était pas une modification du contrat de travail qui aurait nécessité l'accord des parties mais une correction de la méthode de calcul. Le travailleur n'avait par ailleurs pas contesté les calculs opérés pendant toute la durée du contrat tandis qu'il avait accès aux éléments comptables déterminants.</w:t>
      </w:r>
    </w:p>
    <w:p>
      <w:r>
        <w:rPr>
          <w:b/>
        </w:rPr>
        <w:t>E. 3.3</w:t>
      </w:r>
    </w:p>
    <w:p>
      <w:r>
        <w:t>Contrairement au tribunal, la cour cantonale a retenu que l'accord des parties portait sur des commissions calculées en fonction du chiffre d'affaires brut, sans déduction. Procédant à l'interprétation de la réelle et commune intention des parties, elle a, en substance, retenu qu'aucune déduction de ce type n'était mentionnée dans les textes précontractuels et contractuels, qu'aucune déduction n'avait été effectuée pendant deux ans et demi et que le travailleur n'avait pas tacitement accepté cette modification, dans la mesure où il n'avait pas été démontré qu'il aurait été spécifiquement averti de ce changement et où il ne pouvait donc y consentir par son silence.</w:t>
      </w:r>
    </w:p>
    <w:p>
      <w:r>
        <w:rPr>
          <w:b/>
        </w:rPr>
        <w:t>E. 3.4</w:t>
      </w:r>
    </w:p>
    <w:p>
      <w:r>
        <w:t>La recourante invoque qu'aucun document contractuel ne contiendrait le terme " brut ", les parties ayant toujours utilisé le terme " participation au chiffre d'affaires " sans plus de précisions et que la seule mention de ce terme apparaissait dans un courriel de l'intimé dans lequel il visait à éviter que les " charges relatives aux restaurants [sic] " soient déduites de sa commission. Elle argue que le fait qu'elle n'a pas opéré de déduction sur le chiffre d'affaires jusqu'au mois de juillet 2015 n'est pas probant, en tant que sa comptabilité ne permettait pas de distinguer les consommations des clients du restaurant de celles de la famille du gérant et de la galerie d'art et que cette erreur n'a été commise que dès le mois de septembre 2014 et a été réparée en août 2015 suite à un changement comptable.</w:t>
      </w:r>
    </w:p>
    <w:p>
      <w:r>
        <w:t>Subsidiairement, la recourante soutient que l'intimé aurait admis avoir été mis au courant du changement de la méthode de calcul et l'avoir accepté. Elle se réfère à l'interrogatoire de l'intimé devant le tribunal et à une pièce du dossier cantonal.</w:t>
      </w:r>
    </w:p>
    <w:p>
      <w:r>
        <w:rPr>
          <w:b/>
        </w:rPr>
        <w:t>E. 3.5</w:t>
      </w:r>
    </w:p>
    <w:p>
      <w:r>
        <w:t>Par sa critique appellatoire, la recourante ne parvient pas à établir que la constatation de la cour cantonale relative à la volonté réelle et commune des parties serait arbitraire.</w:t>
      </w:r>
    </w:p>
    <w:p>
      <w:r>
        <w:t>D'une part, l'absence éventuelle de mention du terme " brut " n'est pas déterminante, dans la mesure où la cour cantonale a interprété le sens de l'accord relatif à la participation au chiffre d'affaires prévu par les parties sur la base non seulement d'éléments textuels mais aussi du comportement des parties après la conclusion du contrat.</w:t>
      </w:r>
    </w:p>
    <w:p>
      <w:r>
        <w:t>D'autre part, la recourante ne saurait se prévaloir du fait que sa pratique aurait été due à une comptabilité insuffisamment différenciée et à son erreur et de ce que l'intimé aurait été informé du changement de méthode de calcul litigieux et qu'il l'aurait accepté. En effet, ces éléments de fait ne ressortent pas de l'arrêt entrepris et la recourante ne sollicite pas valablement le complètement de l'état de fait sur ces points. En particulier, il ne lui suffisait pas de se référer à des moyens de preuve, soit un interrogatoire et une pièce du dossier; encore lui aurait-il fallu établir, au moyen de références précises au dossier, qu'elle avait valablement allégué ces faits dans ses écritures devant les instances cantonales.</w:t>
      </w:r>
    </w:p>
    <w:p>
      <w:r>
        <w:t>Le grief est donc irrecevable.</w:t>
      </w:r>
    </w:p>
    <w:p>
      <w:r>
        <w:t>Dans la mesure où la cour cantonale a constaté la réelle et commune volonté des parties et où la recourante n'a pas établi que cette constatation serait arbitraire, point n'est besoin d'examiner les arguments formulés par la recourante sous l'angle de l'interprétation objective de la volonté des parties, subsidiaire à l'interprétation subjective.</w:t>
      </w:r>
    </w:p>
    <w:p>
      <w:r>
        <w:rPr>
          <w:b/>
        </w:rPr>
        <w:t>E. 4</w:t>
      </w:r>
    </w:p>
    <w:p>
      <w:r>
        <w:t>Dans un second moyen, la recourante reproche à la cour cantonale de l'avoir condamnée au versement de 1'584 fr. 60, intérêts en sus, à titre de treizième salaire de l'intimé.</w:t>
      </w:r>
    </w:p>
    <w:p>
      <w:r>
        <w:rPr>
          <w:b/>
        </w:rPr>
        <w:t>E. 4.1</w:t>
      </w:r>
    </w:p>
    <w:p>
      <w:r>
        <w:t>La cour cantonale a constaté qu'il n'était plus contesté que le texte du premier contrat contenait une erreur de plume, que le texte du deuxième contrat ne reprenait pas le même texte que le premier et que la volonté des parties divergeait, le texte du deuxième contrat correspondant à la volonté du travailleur mais pas à celle de l'employeuse.</w:t>
      </w:r>
    </w:p>
    <w:p>
      <w:r>
        <w:t>La cour cantonale n'a pas retenu d'acceptation tacite par le travailleur d'une rémunération réduite. Elle a relevé sur ce point que son attention n'avait pas été attirée sur le fait que sa rémunération serait inférieure à celle prévue contractuellement et que la signature du contrat l'a plutôt conforté dans la conviction que son salaire serait revu à la hausse dès ce moment.</w:t>
      </w:r>
    </w:p>
    <w:p>
      <w:r>
        <w:t>Procédant à l'interprétation objective des manifestations de volonté des parties, la cour cantonale a considéré que le texte clair du contrat était déterminant faute de tout autre élément objectif et qu'un tiers de bonne foi aurait compris que le salaire mensuel dû était de 3'875 fr. brut par mois, aucune mention n'étant faite de la quotité du treizième salaire.</w:t>
      </w:r>
    </w:p>
    <w:p>
      <w:r>
        <w:rPr>
          <w:b/>
        </w:rPr>
        <w:t>E. 4.2</w:t>
      </w:r>
    </w:p>
    <w:p>
      <w:r>
        <w:t>La recourante conteste l'interprétation de la cour cantonale. Elle se réfère au témoignage de la personne en charge de sa comptabilité, selon lequel le montant de 3'875 fr. brut par mois serait une erreur, argue que le deuxième contrat aurait repris l'erreur de plume du premier sur la question du treizième salaire, soutient que l'intimé n'aurait pas lu le contrat avant de le signer, se référant sur ce point à l'interrogatoire de l'intimé, et allègue que celui-ci ne se serait jamais plaint de recevoir un salaire inférieur à celui convenu dans le contrat de travail.</w:t>
      </w:r>
    </w:p>
    <w:p>
      <w:r>
        <w:rPr>
          <w:b/>
        </w:rPr>
        <w:t>E. 4.3</w:t>
      </w:r>
    </w:p>
    <w:p>
      <w:r>
        <w:t>L'interprétation objective effectuée par la cour cantonale ne prête pas le flanc à la critique.</w:t>
      </w:r>
    </w:p>
    <w:p>
      <w:r>
        <w:t>Premièrement, la recourante ne soutient pas que la cour cantonale aurait apprécié arbitrairement les preuves en ne se fondant pas sur le témoignage du responsable de sa comptabilité, de sorte que son argument est irrecevable.</w:t>
      </w:r>
    </w:p>
    <w:p>
      <w:r>
        <w:t>Deuxièmement, elle n'est pas crédible lorsqu'elle affirme que l'erreur de plume contenue dans le premier contrat de travail aurait été reprise dans le deuxième contrat de travail et, ce, tout en modifiant la teneur du texte contractuel.</w:t>
      </w:r>
    </w:p>
    <w:p>
      <w:r>
        <w:t>Troisièmement, elle faillit ici encore à établir qu'elle aurait valablement allégué devant les instances cantonales que le travailleur n'aurait pas lu le deuxième contrat avant de le signer, de sorte que la Cour de céans ne peut pas tenir compte de ce fait qui n'a pas été constaté par la cour cantonale.</w:t>
      </w:r>
    </w:p>
    <w:p>
      <w:r>
        <w:t>Enfin, le fait que le travailleur ne se serait jamais plaint de percevoir une rémunération inférieure à celle convenue contractuellement n'emporte pas automatiquement renonciation par lui à ses prétentions.</w:t>
      </w:r>
    </w:p>
    <w:p>
      <w:r>
        <w:t>Le grief doit donc être rejeté.</w:t>
      </w:r>
    </w:p>
    <w:p>
      <w:r>
        <w:rPr>
          <w:b/>
        </w:rPr>
        <w:t>E. 5</w:t>
      </w:r>
    </w:p>
    <w:p>
      <w:r>
        <w:t>Au vu de ce qui précède, le recours doit être rejeté, dans la mesure de sa recevabilité.</w:t>
      </w:r>
    </w:p>
    <w:p>
      <w:r>
        <w:t>Les frais judiciaires seront mis à la charge de la recourante, qui succombe ( art. 66 al. 1 LTF ). La recourante versera par ailleurs une indemnité de dépens réduite à l'intimé pour sa détermination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