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4A_126/2021 vom 5. Juli 2021</w:t>
      </w:r>
    </w:p>
    <w:p>
      <w:r>
        <w:t>Bundesgericht, 2021-07-05, DE</w:t>
      </w:r>
    </w:p>
    <w:p>
      <w:r>
        <w:rPr>
          <w:b/>
        </w:rPr>
        <w:t xml:space="preserve">Quelle: </w:t>
      </w:r>
      <w:r>
        <w:t>https://mcp.opencaselaw.ch/entscheid/bger_4A_126_2021</w:t>
      </w:r>
    </w:p>
    <w:p>
      <w:r>
        <w:t>FR: TF 4A_126/2021 du 5 juillet 2021</w:t>
      </w:r>
    </w:p>
    <w:p>
      <w:r>
        <w:t>IT: TF 4A_126/2021 del 5 luglio 2021</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a BGG in arbeitsrechtlichen Fällen geltenden Mindestbetrag von Fr. 15'000.--. Die Beschwerde in Zivilsachen ist damit grundsätzlich zulässig.</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3.1</w:t>
      </w:r>
    </w:p>
    <w:p>
      <w:r>
        <w:t>Vor Vorinstanz stand zunächst im Streit, ob die Parteien schriftlich oder mündlich eine zusätzliche Gewinnbeteiligung für das Geschäftsjahr 2005 in Höhe von 10 % zugunsten des Beschwerdeführers vereinbart hatten. Nach ausführlicher Würdigung aller im Recht liegenden Beweismittel kam das Obergericht zum Ergebnis, dass dem Beschwerdeführer der Nachweis einer solchen Vereinbarung nicht gelungen sei.</w:t>
      </w:r>
    </w:p>
    <w:p>
      <w:r>
        <w:rPr>
          <w:b/>
        </w:rPr>
        <w:t>E. 3.2</w:t>
      </w:r>
    </w:p>
    <w:p>
      <w:r>
        <w:t>Was der Beschwerdeführer gegen diese Beweiswürdigung vorträgt, beschränkt sich auf appellatorische Kritik. Er schildert in frei gehaltenen Ausführungen seine Sicht der Geschehnisse und hält den vorinstanzlichen Feststellungen seine Interpretation der im Recht liegenden Schreiben und Aussagen entgegen. Dies genügt den Begründungsanforderungen im bundesgerichtlichen Verfahren nicht (Erwägung 2). Es ist darauf nicht einzutreten.</w:t>
      </w:r>
    </w:p>
    <w:p>
      <w:r>
        <w:rPr>
          <w:b/>
        </w:rPr>
        <w:t>E. 3.3</w:t>
      </w:r>
    </w:p>
    <w:p>
      <w:r>
        <w:t>Soweit der Beschwerdeführer eine "unzulässige antizipierte Beweiswürdigung" und eine damit verbundene Verletzung von Art. 8 ZGB und Art. 192 ZPO moniert, weil er nicht zur Beweisaussage zugelassen worden sei, ist was folgt zu bemerken:</w:t>
      </w:r>
    </w:p>
    <w:p>
      <w:r>
        <w:t>Richtig ist, dass die Beweisaussage ein gesetzlich vorgesehenes ( Art. 168 Abs. 1 lit. f ZPO ), objektiv taugliches Beweismittel ist. Aus Art. 157 ZPO folgt ein Verbot fester Beweisregeln. Soweit die gesetzliche Pflicht zur freien Beweiswürdigung Platz greift, ist es nicht zulässig, einem bestimmten, gesetzlich vorgesehenen Beweismittel von vornherein jeden Beweiswert, also jede Überzeugungskraft abzusprechen. Dies gilt auch für die Beweisaussage ( BGE 143 III 297 E. 9.3.2 S. 333).</w:t>
      </w:r>
    </w:p>
    <w:p>
      <w:r>
        <w:t>Dieser Vorwurf kann dem Obergericht allerdings nicht gemacht werden. Es erachtete eine Beweisaussage des Beschwerdeführers im konkreten Fall deshalb als entbehrlich, weil es zur Überzeugung gelangte, sie ändere am Beweisergebnis ohnehin nichts. Diese Argumentation verletzt den Beweisführungsanspruch nicht (vgl. BGE 136 I 229 E. 5.3 ; 134 I 140 E. 5.3; 130 II 425 E. 2.1; je mit Hinweisen). Der Beschwerdeführer hätte aufzeigen müssen, dass die antizipierte Beweiswürdigung der Vorinstanz willkürlich ist (vgl. BGE 138 III 374 E. 4.3.2 S. 376 mit Hinweis). Dies tut er nicht.</w:t>
      </w:r>
    </w:p>
    <w:p>
      <w:r>
        <w:rPr>
          <w:b/>
        </w:rPr>
        <w:t>E. 3.4</w:t>
      </w:r>
    </w:p>
    <w:p>
      <w:r>
        <w:t>Der Beschwerdeführer rügt sodann eine Verletzung von Art. 1 OR . Mit dieser Bestimmung habe der Gesetzgeber zum Ausdruck gebracht, dass "die Äusserung des Willens als vertragskonstituierendes Element" im Mittelpunkt stehe. Es sei vor diesem Hintergrund "unhaltbar", dass die Vorinstanz "unbestrittene schriftliche Willensäusserungen" der Beschwerdegegnerin "unbeachtet" gelassen habe, "zumal diese Willensäusserungen in jeder Hinsicht klar und eindeutig" gewesen seien.</w:t>
      </w:r>
    </w:p>
    <w:p>
      <w:r>
        <w:t>Damit kritisiert der Beschwerdeführer unter dem Vorwand der Rechtsverletzung die sachverhaltlichen Feststellungen der Vorinstanz zum tatsächlichen Willen der Parteien. Darauf ist nicht einzugehen. Dass er in diesem Zusammenhang den "Vertrauensgrundsatz" ins Feld führt, ändert daran nichts.</w:t>
      </w:r>
    </w:p>
    <w:p>
      <w:r>
        <w:rPr>
          <w:b/>
        </w:rPr>
        <w:t>E. 4.1</w:t>
      </w:r>
    </w:p>
    <w:p>
      <w:r>
        <w:t>Gegenstand des vorinstanzlichen Verfahrens waren sodann die Zinsen für Ansprüche des Beschwerdeführers aufgrund seiner ungerechtfertigten fristlosen Entlassung vom 12. Juni 2007.</w:t>
      </w:r>
    </w:p>
    <w:p>
      <w:r>
        <w:rPr>
          <w:b/>
        </w:rPr>
        <w:t>E. 4.2</w:t>
      </w:r>
    </w:p>
    <w:p>
      <w:r>
        <w:t>In diesem Zusammenhang stellte die Vorinstanz fest, dass die konkrete erstinstanzliche "Berechnung" des Zinses im Berufungsverfahren nicht beanstandet worden sei. Diesbezügliche Rügen können folglich auch dem Bundesgericht nicht mehr unterbreitet werden ( BGE 143 III 290 E. 1.1).</w:t>
      </w:r>
    </w:p>
    <w:p>
      <w:r>
        <w:rPr>
          <w:b/>
        </w:rPr>
        <w:t>E. 4.3</w:t>
      </w:r>
    </w:p>
    <w:p>
      <w:r>
        <w:t>Hingegen war vor Obergericht strittig, ab welchem Zeitpunkt Ersatzansprüche aus ungerechtfertigter Entlassung ( Art. 337c Abs. 1 OR ) zu verzinsen sind, konkret der Ersatz für den vereinbarten Anteil am (zukünftigen) Geschäftsergebnis (vgl. Art. 322a OR ).</w:t>
      </w:r>
    </w:p>
    <w:p>
      <w:r>
        <w:t>Die Vorinstanz hielt was folgt fest: Entlasse der Arbeitgeber den Arbeitnehmer fristlos ohne wichtigen Grund, so habe dieser Anspruch auf Ersatz dessen, was er verdient hätte, wenn das Arbeitsverhältnis unter Einhaltung der Kündigungsfrist oder durch Ablauf der bestimmten Vertragszeit beendigt worden wäre ( Art. 337c Abs. 1 OR ). Dazu gehörten auch vereinbarte Anteile an (zukünftigen) Geschäftsergebnissen. Gemäss Art. 339 Abs. 1 OR würden Forderungen aus dem Arbeitsverhältnis grundsätzlich mit der Beendigung des Arbeitsverhältnisses fällig, also im Zeitpunkt der fristlosen Kündigung. Gemäss Art. 339 Abs. 3 (in Verbindung mit Art. 323 Abs. 3) OR gelte allerdings für Forderungen auf einen Anteil am Geschäftsergebnis eine Ausnahme. Diese würden erst fällig, sobald das Geschäftsergebnis festgestellt sei, spätestens jedoch sechs Monate nach Ablauf des Geschäftsjahrs. (Erst) ab diesem Zeitpunkt sei die Forderung zu verzinsen.</w:t>
      </w:r>
    </w:p>
    <w:p>
      <w:r>
        <w:t>Der Beschwerdeführer ist dagegen der Ansicht, die Beteiligung am (zukünftigen) Gewinn müsse ab dem Zeitpunkt der (ungerechtfertigten) fristlosen Kündigung verzinst werden und nicht erst nach Ablauf von sechs Monaten nach Abschluss des betreffenden Geschäftsjahrs. Art. 339 OR regle die Fälligkeit nur bei ordentlicher Beendigung des Arbeitsverhältnisses. Durch die zu späte Ansetzung des Fälligkeitszeitpunkts seien ihm Fr. 237'137.-- zu wenig Zinsen zugesprochen worden.</w:t>
      </w:r>
    </w:p>
    <w:p>
      <w:r>
        <w:rPr>
          <w:b/>
        </w:rPr>
        <w:t>E. 4.4</w:t>
      </w:r>
    </w:p>
    <w:p>
      <w:r>
        <w:t>Die Erwägungen der Vorinstanz sind nicht zu beanstanden. Das Bundesgericht hat in der Tat - und anders, als der Beschwerdeführer meint - entschieden, dass sich die Fälligkeit und damit der Beginn der Verzinsung auch der Entschädigungsansprüche aufgrund ungerechtfertigter fristloser Entlassung im Sinne von Art. 337c OR nach den Regeln von Art. 339 OR richtet (Urteile 4A_474/2010 vom 12. Januar 2011 E. 2.2.2; 4C.414/2005 vom 29. März 2006 E. 6; vgl. ferner BGE 103 II 274 E. 3b S. 275 und Urteil 4C.2/2003 vom 25. März 2003 E. 10.3; aus der Doktrin - statt vieler - STREIFF/VON KAENEL/RUDOLPH, Arbeitsvertrag, 7. Aufl. 2012, N. 3 zu Art. 337c OR und N. 2 zu Art. 339 OR ).</w:t>
      </w:r>
    </w:p>
    <w:p>
      <w:r>
        <w:t>Soweit in der Lehre abweichende Meinungen vertreten werden, sind sie für den Beschwerdeführer ungünstig. Es wird namentlich eine Abzinsung ("Diskontierung") jener Forderungen vorgeschlagen, die wegen Art. 339 OR bereits jetzt fällig, aber bei ungekündigtem Vertragsverhältnis erst in Zukunft geschuldet gewesen wären (so GABRIEL AUBERT, in: Commentaire romand, Code des obligations I, 2. Aufl. 2012, N. 5 zu Art. 337c OR ).</w:t>
      </w:r>
    </w:p>
    <w:p>
      <w:r>
        <w:t>Jedenfalls hält Art. 339 Abs. 3 OR fest, dass im Falle der Beendigung des Arbeitsverhältnisses die Forderung auf einen Anteil am Geschäftsergebnis nach Massgabe von Art. 323 Abs. 3 OR fällig wird. Diese Bestimmung wiederum sieht vor, dass der Anteil am Geschäftsergebnis auszurichten ist, sobald dieses festgestellt ist, spätestens jedoch sechs Monate nach Ablauf des Geschäftsjahrs. Dies hat denn auch die Vorinstanz ihren Überlegungen zugrunde gelegt und erscheint ohne Weiteres sachgerecht, da das Ergebnis des Geschäftsjahrs und damit die Höhe des (behaupteten) Anspruchs des Arbeitnehmers im Vertragsbeendigungszeitpunkt noch gar nicht bekannt ist (Urteil 4A_45/2017 vom 27. Juni 2017 E. 6.2, nicht publiziert in: BGE 143 III 480 ). Für den davor liegenden Zeitraum (das heisst für die Zeit vor Fälligkeit) sind entsprechend keine Zinsen zu bezahlen.</w:t>
      </w:r>
    </w:p>
    <w:p>
      <w:r>
        <w:t>Der Beschwerdeführer legt nicht nachvollziehbar dar, weshalb diese (insoweit klaren) Bestimmungen und die darauf beruhende bundesgerichtliche Rechtsprechung nicht anwendbar sein sollen. Er bringt im Wesentlichen vor, der Zins sei nach allgemeinen Regeln "vom Zeitpunkt an geschuldet, in welchem sich das schädigende Ereignis finanziell auswirkt". Dies spricht allerdings gerade gegen seine These, wäre ihm der Anteil am Geschäftsergebnis bei ungekündigtem Arbeitsverhältnis doch auch erst nach Ablauf des jeweiligen Geschäftsjahrs (gemäss der Regel in Art. 323 Abs. 3 OR ) ausbezahlt worden. Auch seine Behauptung, beim hier in Frage stehenden Zins handle es sich um Schadens- und nicht um Verzugszins, hilft ihm nicht (vgl. zur Bedeutung der Unterscheidung: BGE 131 III 12 E. 9.1).</w:t>
      </w:r>
    </w:p>
    <w:p>
      <w:r>
        <w:rPr>
          <w:b/>
        </w:rPr>
        <w:t>E. 4.5</w:t>
      </w:r>
    </w:p>
    <w:p>
      <w:r>
        <w:t>Die Kritik des Beschwerdeführers ist unbegründet.</w:t>
      </w:r>
    </w:p>
    <w:p>
      <w:r>
        <w:rPr>
          <w:b/>
        </w:rPr>
        <w:t>E. 5</w:t>
      </w:r>
    </w:p>
    <w:p>
      <w:r>
        <w:t>Der Beschwerdeführer stellt in seinen Rechtsbegehren vor Bundesgericht den Antrag, der vorinstanzliche Entscheid über die Kosten- und Entschädigungsfolgen sei zu ändern. Aus der Beschwerdebegründung erhellt, dass sich dieses Begehren auf den Fall der bundesgerichtlichen Gutheissung seiner Beschwerde bezieht. Damit hat es sein Bewenden.</w:t>
      </w:r>
    </w:p>
    <w:p>
      <w:r>
        <w:rPr>
          <w:b/>
        </w:rPr>
        <w:t>E. 6</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