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4A_126/2019 vom 17. Februar 2020</w:t>
      </w:r>
    </w:p>
    <w:p>
      <w:r>
        <w:t>Bundesgericht, 2020-02-17, FR</w:t>
      </w:r>
    </w:p>
    <w:p>
      <w:r>
        <w:rPr>
          <w:b/>
        </w:rPr>
        <w:t xml:space="preserve">Quelle: </w:t>
      </w:r>
      <w:r>
        <w:t>https://mcp.opencaselaw.ch/entscheid/bger_4A_126_2019</w:t>
      </w:r>
    </w:p>
    <w:p>
      <w:r>
        <w:t>FR: TF 4A_126/2019 du 17 février 2020</w:t>
      </w:r>
    </w:p>
    <w:p>
      <w:r>
        <w:t>IT: TF 4A_126/2019 del 17 febbraio 2020</w:t>
      </w:r>
    </w:p>
    <w:p>
      <w:pPr>
        <w:pStyle w:val="Heading2"/>
      </w:pPr>
      <w:r>
        <w:t>Erwägungen</w:t>
      </w:r>
    </w:p>
    <w:p>
      <w:r>
        <w:rPr>
          <w:b/>
        </w:rPr>
        <w:t>E. 1</w:t>
      </w:r>
    </w:p>
    <w:p>
      <w:r>
        <w:t>Interjeté en temps utile ( art. 100 al. 1 LTF ) par la défenderesse, qui a succombé partiellement dans ses conclusions libératoires ( art. 76 al. 1 LTF ), et dirigé contre une décision finale ( art. 90 LTF ) prise sur son appel par le tribunal supérieur du canton de Genève ( art. 75 LTF ), dans une contestation civile dont la valeur litigieuse dépasse très largement 30'000 fr. (art. 72 al. 1 et 74 al. 1 let. b LTF), le recours en matière civile est recevable au regard de ces dispositions.</w:t>
      </w:r>
    </w:p>
    <w:p>
      <w:r>
        <w:rPr>
          <w:b/>
        </w:rPr>
        <w:t>E. 2</w:t>
      </w:r>
    </w:p>
    <w:p>
      <w:r>
        <w:t>S 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 Lorsque le Tribunal fédéral entend trancher un litige en opérant une substitution de motifs, il ne lui appartient d'entendre les parties que si les (nouveaux) motifs juridiques sont inattendus (surprenants) (cf. ATF 136 III 247 consid. 4 p. 252; arrêt 5A_1023/2018 du 8 juillet 2019 consid. 2.1; BERNARD CORBOZ, in Commentaire de la LTF, 2e éd. 2014, no 26 ad art. 106 LTF ; JOHANNA DORMANN, in Basler Kommentar, Bundesgerichtsgesetz, 3e éd. 2018, no 13 ad art. 106 LTF ).</w:t>
      </w:r>
    </w:p>
    <w:p>
      <w:r>
        <w:rPr>
          <w:b/>
        </w:rPr>
        <w:t>E. 3</w:t>
      </w:r>
    </w:p>
    <w:p>
      <w:r>
        <w:t>Dans son arrêt de renvoi du 29 janvier 2019, le Tribunal fédéral a considéré que le juge n'est lié que par le montant total du dommage qui est réclamé dans les conclusions, à moins que le demandeur n'ait qualifié ou limité les postes de son dommage dans les conclusions elles-mêmes. Or, dans sa demande, le demandeur avait pris des conclusions en paiement d'un montant global de 1'770'153,19 USD avec intérêts à 6% l'an dès le 1er mai 2009, qu'il n'avait subdivisé en deux postes de dommage que dans ses motifs, soit 1'000'000 USD pour l'achat de parts d'un fonds de placement et le solde de 770'153,19 USD pour les opérations effectuées sans son autorisation. La cour cantonale s'était donc à tort considérée comme liée par les conclusions prises en rapport avec chacun des deux postes de dommage, en violation de la règle admettant la compensation entre les différents postes du dommage (arrêt de renvoi 4A_54/2017 déjà cité consid. 6).</w:t>
      </w:r>
    </w:p>
    <w:p>
      <w:r>
        <w:t>En conséquence, après avoir rejeté le recours en matière civile, par substitution de motifs, en ce qui concerne le premier poste de 1'000'000 USD, le Tribunal fédéral a annulé l'arrêt attaqué et renvoyé la cause pour instruction et décision sur le second poste du dommage, soit pour les opérations effectuées sans autorisation du client entre le 1er juillet 2009 et le 23 février 2010, étant précisé que le montant maximal auquel les conclusions du demandeur étaient réduites, faute d'appel ou d'appel joint de sa part contre le premier jugement, s'élevait au montant global de 1'200'742,50 USD avec intérêts à 5% l'an dès le 24 février 2011, lequel comprend le montant de 284'129 USD avec les mêmes intérêts (montant total alloué par le premier jugement) (arrêt de renvoi 4A_54/2017 consid. 6.3).</w:t>
      </w:r>
    </w:p>
    <w:p>
      <w:r>
        <w:t>Dans les limites de ce montant global, la cour cantonale devait examiner les conditions de la responsabilité de la banque s'agissant de ces opérations. Le Tribunal fédéral relevait que la cour cantonale avait admis dans ses motifs que le client avait subi un dommage de 894'119,35 USD à ce titre (arrêt de renvoi, loc. cit.).</w:t>
      </w:r>
    </w:p>
    <w:p>
      <w:r>
        <w:rPr>
          <w:b/>
        </w:rPr>
        <w:t>E. 4</w:t>
      </w:r>
    </w:p>
    <w:p>
      <w:r>
        <w:t>Statuant après renvoi, après avoir annulé les ch. 2 à 4 du premier jugement, dont le ch. 4 est ici en cause, la cour cantonale a condamné la banque à payer au client le montant de 841'465,44 USD avec intérêts à 5% l'an dès le 24 février 2011, lequel comprend le montant de 284'129 USD avec intérêts.</w:t>
      </w:r>
    </w:p>
    <w:p>
      <w:r>
        <w:t>La banque recourante ne conteste pas le fait qu'elle a effectué les opérations ordonnées par C.________ durant la période litigieuse, du 1er juillet 2009 au 23 février 2010, alors qu'elle ne disposait d'aucune procuration en faveur de celui-ci ou de sa société en tant que gérant externe, ni qu'elle aurait dû informer le client que C.________ n'était plus son employé, ni qu'elle aurait dû l'interpeller et requérir une procuration en bonne et due forme, ne pouvant pas présumer qu'il continuait à faire confiance à C.________.</w:t>
      </w:r>
    </w:p>
    <w:p>
      <w:r>
        <w:t>En l'absence de grief de la banque recourante sur le fondement de la prétention en paiement du client, il n'y a pas lieu d'examiner si la question devait être traitée, comme l'a fait la cour cantonale, sous l'angle de la responsabilité contractuelle de la banque pour violation de son devoir de diligence et d'information (les règles élémentaires de prudence dans le cadre de la relation de type</w:t>
      </w:r>
    </w:p>
    <w:p>
      <w:r>
        <w:t>execution only ayant été violées par elle) ( art. 398 al. 2 CO ) ou si elle aurait dû l'être en application des règles sur l'action du client en restitution de ses avoirs (</w:t>
      </w:r>
    </w:p>
    <w:p>
      <w:r>
        <w:t>Erfüllungsklage ) à la suite d'ordres donnés par un représentant sans mandat du client (défaut de légitimation) (arrêts 4A_ 379/2016 du 15 juin 2017 consid. 3.2.2; 4A_119/2018 du 7 janvier 2019 consid. 3.1; 4A_504/2018 10 décembre 2019 consid. 3.1).</w:t>
      </w:r>
    </w:p>
    <w:p>
      <w:r>
        <w:t>De même, faute de grief de la banque recourante, il n'y a pas lieu de revoir, au titre de prétention en responsabilité de la banque, invoquée en compensation, la question des clauses de banque restante et de réclamation, que la cour cantonale a exclues au motif que leur application stricte entraînerait des conséquences choquantes.</w:t>
      </w:r>
    </w:p>
    <w:p>
      <w:r>
        <w:t>Les seuls griefs de la recourante concernent le dommage, une question qui n'avait pas été abordée par la cour cantonale dans son précédent arrêt dès lors que celle-ci avait exclu toute compensation entre les postes du dommage. Or, que l'on doive statuer sur le dommage dans le cadre d'une responsabilité contractuelle ( art. 398 al. 2 CO ), comme l'a fait la cour cantonale, ou déterminer la prétention du client en restitution de ses avoirs non amputés des ordres exécutés sans mandat de sa part, ces questions se présentent de la même manière.</w:t>
      </w:r>
    </w:p>
    <w:p>
      <w:r>
        <w:rPr>
          <w:b/>
        </w:rPr>
        <w:t>E. 5</w:t>
      </w:r>
    </w:p>
    <w:p>
      <w:r>
        <w:t>Dans un premier grief, sous le titre " De l'établissement manifestement inexact des faits et de l'appréciation arbitraire des preuves ", la banque recourante reproche à la cour cantonale d'avoir établi le dommage en comparant l'état du compte "xxx" au 4 juin 2009 et au 30 septembre 2010, qui ne sont pas les dates pertinentes en l'occurrence puisqu'il s'agit du 30 juin 2009 et du 23 février 2010, dates pour lesquelles aucune pièce n'a été versée au dossier.</w:t>
      </w:r>
    </w:p>
    <w:p>
      <w:r>
        <w:t>La pertinence d'un fait est une question de droit ( ATF 123 III 35 consid. 2b; 114 II 289 consid. 2a), et non de fait, de sorte que le grief d'arbitraire dans l'établissement des faits et l'appréciation des preuves des art. 97 al. 1 LTF et 9 Cst. tombe à faux.</w:t>
      </w:r>
    </w:p>
    <w:p>
      <w:r>
        <w:t>Au demeurant, la cour cantonale n'a pas calculé le dommage en tablant sur la différence entre les deux états des avoirs au 4 juin 2009 et au 30 septembre 2010, mais a additionné toutes les pertes subies sur les différentes opérations exécutées sans mandat du client, sous déduction d'un gain, durant cette période (cf. infra consid. 6.2.2).</w:t>
      </w:r>
    </w:p>
    <w:p>
      <w:r>
        <w:rPr>
          <w:b/>
        </w:rPr>
        <w:t>E. 6</w:t>
      </w:r>
    </w:p>
    <w:p>
      <w:r>
        <w:t>Dans ses deuxième et troisième griefs, la banque recourante reproche à la cour cantonale de n'avoir pas retenu que le demandeur n'avait pas allégué et prouvé son dommage (violation du fardeau de l'allégation [objectif] et du fardeau de la preuve), y voyant une violation de l' art. 55 CPC , de l' art. 8 CC et de l' art. 42 CO . Non seulement la quotité du dommage, mais déjà son allégation seraient, selon elle, défaillantes. Elle reproche aussi à la cour cantonale d'avoir calculé elle-même le dommage sur la base de deux pièces du dossier; elle y voit aussi une violation de la maxime des débats en ce sens que la cour cantonale aurait retenu des faits non allégués - que la recourante qualifie de faits exorbitants - qui ressortent de l'administration des preuves, lesquels auraient dû, selon elle, être formellement allégués par le demandeur.</w:t>
      </w:r>
    </w:p>
    <w:p>
      <w:r>
        <w:rPr>
          <w:b/>
        </w:rPr>
        <w:t>E. 6.1.1</w:t>
      </w:r>
    </w:p>
    <w:p>
      <w:r>
        <w:t>Lorsque la maxime des débats est applicable ( art. 55 al. 1 CPC ), il incombe aux parties, et non au juge, de rassembler les faits du procès. Les parties doivent alléguer les faits sur lesquels elles fondent leurs prétentions (fardeau de l'allégation subjectif), produire les moyens de preuve qui s'y rapportent ( art. 55 al. 1 CPC ) et contester les faits allégués par la partie adverse, le juge ne devant administrer les moyens de preuve que sur les faits pertinents et contestés ( art. 150 al. 1 CPC ) ( ATF 144 III 519 consid. 5.1 p. 522). A cet égard, il importe peu que les faits aient été allégués par le demandeur ou par le défendeur puisqu'il suffit que les faits fassent partie du cadre du procès pour que le juge puisse en tenir compte ( ATF 143 III 1 consid. 4.1 p. 2; arrêts 4A_11/2018 du 8 octobre 2018 consid. 6.1, non publié aux ATF 144 III 519 ; 4A_559/2016 du 18 janvier 2017 consid. 3.1; 4A_555/2015 précité consid. 2.3; 4A_566/2015 du 8 février 2016 consid. 4.2.1).</w:t>
      </w:r>
    </w:p>
    <w:p>
      <w:r>
        <w:t>Le demandeur, qui supporte le fardeau de l'allégation objectif (</w:t>
      </w:r>
    </w:p>
    <w:p>
      <w:r>
        <w:t>objektive Behauptungslast ) et le fardeau de la preuve (</w:t>
      </w:r>
    </w:p>
    <w:p>
      <w:r>
        <w:t>objektive Beweislast d'un fait ) ( art. 8 CC ), en ce sens qu'il supporte les conséquences de l'absence d'allégation de ce fait, respectivement celles de l'absence de preuve de celui-ci, a évidemment toujours intérêt à l'alléguer lui-même, ainsi qu'à indiquer au juge les moyens propres à l'établir ( ATF 143 III 1 consid. 4.1 p. 2).</w:t>
      </w:r>
    </w:p>
    <w:p>
      <w:r>
        <w:rPr>
          <w:b/>
        </w:rPr>
        <w:t>E. 6.1.2</w:t>
      </w:r>
    </w:p>
    <w:p>
      <w:r>
        <w:t>Les faits sur lesquels le demandeur fonde ses prétentions et qui doivent être allégués sont les faits pertinents (cf. art. 150 al. 1 CPC ), c'est-à-dire les éléments de fait concrets correspondant aux faits constitutifs de la règle de droit applicable dans le cas particulier (arrêt 4A_243/2018 du 17 décembre 2018 consid. 4.2; cf. FABIENNE HOHL, Procédure civile, 2e éd. 2016, Tome I, n. 1219 et 1229).</w:t>
      </w:r>
    </w:p>
    <w:p>
      <w:r>
        <w:t>Lorsqu'est en jeu la responsabilité de la banque (art. 398 al. 2 et 97 al. 1 CO), comme l'a admis la cour cantonale, un des faits pertinents à alléguer est le dommage.</w:t>
      </w:r>
    </w:p>
    <w:p>
      <w:r>
        <w:t>A cet égard, il sied de rappeler que, dans sa jurisprudence relative à la responsabilité de la banque dans le cadre d'un contrat de gestion de fortune, comme aussi de contrat de conseil en placements, en cas de gestion irrégulière du portefeuille, citée tant par la cour cantonale que par la recourante, le client peut demander à la banque de l'indemniser de son intérêt positif au contrat, lequel présuppose une comparaison entre le portefeuille effectif (à la suite de la mauvaise exécution du contrat) et le portefeuille hypothétique (qu'il aurait eu si le contrat avait été géré correctement (dommages-intérêts positifs; art. 398 al. 2 et 97 al. 1 CO; ATF 144 III 155 consid. 2). Il en va de même lorsque, bien que le contrat soit intitulé "</w:t>
      </w:r>
    </w:p>
    <w:p>
      <w:r>
        <w:t>execution only ", la banque fournit en réalité un conseil en placement à l'occasion d'une transaction particulière (cf. arrêt de renvoi consid. 5.2). Lorsque, tant dans le contrat de conseil en placement que dans celui d'</w:t>
      </w:r>
    </w:p>
    <w:p>
      <w:r>
        <w:t>execution only , la banque exécute des opérations boursières (arrêt de renvoi consid. 5.1.3 et 5.1.4), le dommage à réparer, qui est en relation de causalité naturelle et adéquate avec la violation contractuelle, est la perte subie en raison de cette opération.</w:t>
      </w:r>
    </w:p>
    <w:p>
      <w:r>
        <w:t>Le calcul de ce dommage peut s'effectuer selon différentes méthodes: en particulier, le dommage peut être déterminé en calculant la différence entre l'état du portefeuille avant les opérations exécutées sans mandat et l'état du portefeuille après ces opérations; il peut aussi l'être en additionnant les pertes occasionnées par les différentes opérations exécutées sans mandat.</w:t>
      </w:r>
    </w:p>
    <w:p>
      <w:r>
        <w:rPr>
          <w:b/>
        </w:rPr>
        <w:t>E. 6.1.3</w:t>
      </w:r>
    </w:p>
    <w:p>
      <w:r>
        <w:t>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 art. 150 al. 1 CPC ; ATF 144 III 519 consid. 5.2.1.1 p. 522 s., 67 consid. 2.1 p. 68 s.).</w:t>
      </w:r>
    </w:p>
    <w:p>
      <w:r>
        <w:t>Les exigences quant au contenu des allégués et à leur précision dépendent, d'une part, du droit matériel, soit des faits constitutifs de la norme invoquée et, d'autre part, de la façon dont la partie adverse s'est déterminée en procédure: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 ATF 144 III 519 consid. 5.2.1.1 p. 523; 127 III 365 consid. 2b p. 368).</w:t>
      </w:r>
    </w:p>
    <w:p>
      <w:r>
        <w:rPr>
          <w:b/>
        </w:rPr>
        <w:t>E. 6.1.4</w:t>
      </w:r>
    </w:p>
    <w:p>
      <w:r>
        <w:t>Lorsque le demandeur a présenté un allégué et l'a suffisamment motivé, en l'occurrence son dommage, le défendeur doit le contester de manière précise et motivée. A défaut, l'allégué du demandeur est censé non contesté (ou reconnu ou admis), avec pour conséquence qu'il n'a pas à être prouvé ( art. 150 al. 1 CPC ). 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 art. 150 al. 1 CPC ; cf. ATF 117 II 113 consid. 2).</w:t>
      </w:r>
    </w:p>
    <w:p>
      <w:r>
        <w:rPr>
          <w:b/>
        </w:rPr>
        <w:t>E. 6.2.1</w:t>
      </w:r>
    </w:p>
    <w:p>
      <w:r>
        <w:t>En l'espèce, le demandeur avait réclamé dans sa demande un montant global de 1'770'153,19 USD, correspondant à la différence entre l'état de ses avoirs au 4 juin 2009 et celui au 30 septembre 2010 (allégué n° 122; art. 105 al. 2 LTF ).</w:t>
      </w:r>
    </w:p>
    <w:p>
      <w:r>
        <w:t>Dans sa réponse, la banque défenderesse s'est bornée à contester cet allégué en se référant à son objection ad n° 120, dans laquelle elle ne fait que contester avoir incité son client à investir dans l'achat de ces parts de fonds de placement. Ce faisant, elle n'a contesté ni la méthode de calcul choisie par le demandeur pour déterminer son dommage (différence entre les deux états de ses avoirs), ni les deux dates alléguées et prises en considération par celui-ci, ce qu'il lui incombait pourtant de faire. Il convient dès lors de reconnaître que, faute de contestation, le dommage ainsi allégué était censé admis et n'avait pas à être prouvé ( art. 150 al. 1 CPC ).</w:t>
      </w:r>
    </w:p>
    <w:p>
      <w:r>
        <w:t>Il s'ensuit que le demandeur n'avait pas à motiver son dommage selon une autre méthode de calcul ou en prenant en considération d'autres dates, ni à alléguer des éléments de fait qui ressortaient de l'administration des preuves, comme la recourante le soutient. C'est à tort que la recourante se plaint d'un défaut d'allégation ( art. 8 CC ), voire de motivation de son dommage par le demandeur. C'est également à tort qu'elle invoque la violation de l' art. 42 CO .</w:t>
      </w:r>
    </w:p>
    <w:p>
      <w:r>
        <w:t>On ne saurait qualifier cette dernière motivation d'inattendue (sur la substitution de motifs, cf. supra consid. 2). Dans sa réponse, l'intimé relève en effet explicitement qu'il lui suffisait de chiffrer le dommage (globalement) en s'appuyant sur l'ensemble des transactions passées sans autorisation, que les pièces en sa possession ne lui permettaient pas d'alléguer (et de prouver) son préjudice d'une autre manière (notamment en tenant compte d'autres dates) et qu'il " serait ainsi abusif " que la banque puisse exiger de lui, sans même avoir " allégué les faits sur lesquels elle se fonde ", de " réexaminer son dommage ". Autrement dit, l'intimé considère que la banque ne saurait aujourd'hui remettre en question la quotité du dommage qu'il a alléguée puisque, lors des échanges d'écritures en première instance, elle n'a pas " daign[é] apporter les éléments nécessaires " susceptibles de le remettre en cause. Cela étant, il n'y avait rien de surprenant à ce que la Cour de céans examine la portée des critiques de la banque visant le montant global du dommage allégué par le client et qu'elle contrôle si, et dans quelle mesure, la banque avait effectivement contesté (le cas échéant, en présentant une motivation) ces allégations.</w:t>
      </w:r>
    </w:p>
    <w:p>
      <w:r>
        <w:rPr>
          <w:b/>
        </w:rPr>
        <w:t>E. 6.2.2</w:t>
      </w:r>
    </w:p>
    <w:p>
      <w:r>
        <w:t>Certes, la cour cantonale a adopté une autre méthode de calcul que celle préconisée par le demandeur et non contestée par la défenderesse. Elle a procédé à l'addition des pertes occasionnées par les opérations non autorisées (avec déduction d'un gain) et, comme l'intimé le relève, a arrêté la période à prendre en considération - du 1er juillet 2009 au 23 février 2010 - dans son précédent arrêt du 16 décembre 2016, période pour laquelle lui-même ne disposait pas des états de ses avoirs à ces dates lors de l'introduction de sa demande, seule la banque pouvant les émettre. Ce faisant, la cour cantonale est parvenue à un montant inférieur à celui qui découlait de l'allégué (quant à la méthode de calcul et aux dates déterminantes cf. consid. 6.2.1) du demandeur et non contesté par la défenderesse.</w:t>
      </w:r>
    </w:p>
    <w:p>
      <w:r>
        <w:t>La recourante ne démontre pas que le calcul ainsi effectué par la cour cantonale serait arbitraire, se bornant à affirmer que toutes les opérations intervenues auraient dû être prises en considération, en tenant compte des opérations en cours ouvertes au 30 juin 2009 et des opérations qui auraient dû être clôturées après le 23 février 2010.</w:t>
      </w:r>
    </w:p>
    <w:p>
      <w:r>
        <w:t>La recourante méconnaît que, dès lors que le demandeur avait choisi la méthode de la différence des états des avoirs et les dates déterminantes de ceux-ci, il lui appartenait de contester ces deux points, sous peine de les voir admis ( art. 150 al. 1 CPC ). Dès lors que l'autre méthode choisie par la cour cantonale lui est plus favorable, la recourante n'a pas d'intérêt à lui reprocher d'avoir adopté une autre méthode et d'avoir pris en considération des éléments de fait qui ressortaient des preuves administrées, en violation de l' art. 55 CPC (" théorie des faits exorbitants ").</w:t>
      </w:r>
    </w:p>
    <w:p>
      <w:r>
        <w:t>Le montant inférieur auquel la cour cantonale est parvenue sera donc confirmé, le demandeur n'ayant de son côté pas recouru pour non-prise en considération de son allégué non contesté.</w:t>
      </w:r>
    </w:p>
    <w:p>
      <w:r>
        <w:t>Dans la mesure où la recourante entend revenir sur l'admission de la compensation entre les différents postes du dommage, décidée par l'arrêt de renvoi du Tribunal fédéral, sa critique se heurte à l'autorité de la chose jugée de cet arrêt.</w:t>
      </w:r>
    </w:p>
    <w:p>
      <w:r>
        <w:rPr>
          <w:b/>
        </w:rPr>
        <w:t>E. 7</w:t>
      </w:r>
    </w:p>
    <w:p>
      <w:r>
        <w:t>Il s'ensuit que le recours doit être rejeté, par substitution des motifs qui précèdent. Les frais et les dépens de la procédure fédérale seront donc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