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126/2009 vom 12. Juni 2009</w:t>
      </w:r>
    </w:p>
    <w:p>
      <w:r>
        <w:t>Bundesgericht, 2009-06-12, FR</w:t>
      </w:r>
    </w:p>
    <w:p>
      <w:r>
        <w:rPr>
          <w:b/>
        </w:rPr>
        <w:t xml:space="preserve">Quelle: </w:t>
      </w:r>
      <w:r>
        <w:t>https://mcp.opencaselaw.ch/entscheid/bger_4A_126_2009</w:t>
      </w:r>
    </w:p>
    <w:p>
      <w:r>
        <w:t>FR: TF 4A 126/2009 du 12 juin 2009</w:t>
      </w:r>
    </w:p>
    <w:p>
      <w:r>
        <w:t>IT: TF 4A 126/2009 del 12 giugno 2009</w:t>
      </w:r>
    </w:p>
    <w:p>
      <w:pPr>
        <w:pStyle w:val="Heading2"/>
      </w:pPr>
      <w:r>
        <w:t>Regeste</w:t>
      </w:r>
    </w:p>
    <w:p>
      <w:r>
        <w:t>contrat de travail; prohibiton de concurrence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w:t>
      </w:r>
    </w:p>
    <w:p>
      <w:r>
        <w:rPr>
          <w:b/>
        </w:rPr>
        <w:t>E. 2</w:t>
      </w:r>
    </w:p>
    <w:p>
      <w:r>
        <w:t>Il est constant que les parties se sont liées par un contrat de travail, conclu par écrit le 12 février 2004, et que ce contrat comportait une clause interdisant à la demanderesse de faire concurrence à la défenderesse après la fin des rapports de travail. Les parties ont donc observé la forme écrite nécessaire à la validité d'une clause de ce genre, selon l' art. 340 al. 1 CO . La demanderesse soutient vainement que cela n'était pas suffisant et qu'en raison de son importance particulière, la prohibition de concurrence aurait dû être mise en évidence dans le contrat, par un procédé visuel, ou contresignée spécialement par la partie qui hypothéquait sa liberté économique. Cette exigence est étrangère à la disposition précitée. Au demeurant, la demanderesse ne saurait prétendre avoir signé le contrat en ignorant ou en sous-estimant la portée de la clause concernée: quelques jours auparavant, le 5 février 2004, elle avait dû négocier la caducité d'une clause semblable qui la liait à sa précédente employeuse.</w:t>
      </w:r>
    </w:p>
    <w:p>
      <w:r>
        <w:rPr>
          <w:b/>
        </w:rPr>
        <w:t>E. 3</w:t>
      </w:r>
    </w:p>
    <w:p>
      <w:r>
        <w:t>Aux termes de l' art. 340a al. 1 CO , la prohibition de concurrence doit être limitée convenablement quant au lieu, au temps et au genre d'affaires, de façon à ne pas compromettre l'avenir économique du travailleur contrairement à l'équité. La demanderesse affirme que l'autre partie exerce ses activités de placement de personnel en Suisse romande seulement, et que la prohibition convenue pour « le territoire du canton du Valais et des cantons limitrophes » est donc excessive en tant qu'elle inclut le Haut-Valais et les cantons de Berne, d'Uri et du Tessin; il en résulte, selon l'argumentation présentée, que la prohibition est dépourvue de toute validité. Or, l' art. 340a al. 2 CO prévoit textuellement qu'une prohibition excessive doit être réduite par le juge, selon sa libre appréciation et en tenant compte de toutes les circonstances. En l'occurrence, la défenderesse peut légitimement exiger, de son ancienne responsable d'agence, qu'elle s'abstienne de lui faire concurrence dans la région sédunoise. La prohibition n'est pas non plus excessive en raison de l'âge de la demanderesse - soixante-et-un ans actuellement - et du temps pendant lequel elle a pratiqué l'activité de placement de personnel.</w:t>
      </w:r>
    </w:p>
    <w:p>
      <w:r>
        <w:rPr>
          <w:b/>
        </w:rPr>
        <w:t>E. 4</w:t>
      </w:r>
    </w:p>
    <w:p>
      <w:r>
        <w:t>Aux termes de l' art. 340c al. 2 CO , une prohibition de faire concurrence cesse si le travailleur résilie le contrat de travail pour un motif justifié et imputable à l'employeur. La demanderesse a allégué divers motifs d'insatisfaction qui justifiaient, prétendument, sa volonté de changer d'employeuse: elle avait demandé sans succès que la responsabilité du suivi des débiteurs de l'agence lui fût transférée; les objectifs imposés par la défenderesse étaient irréalistes et nécessitaient l'accomplissement de nombreuses heures supplémentaires; en outre, la demanderesse ne parvenait pas à obtenir un quatorzième salaire. Selon le jugement de la Cour civile, aucun de ces motifs n'est suffisamment grave; il s'agit plutôt de simples prétextes avancés « pour les besoins de la cause », compte tenu que la demanderesse a résilié le contrat de travail sans faire aucun reproche à l'employeuse, et en lui en expliquant qu'elle allait se reconvertir dans le secteur immobilier. En instance fédérale, la demanderesse persiste dans sa propre thèse et elle critique le jugement précité, où il est difficile de discerner ce qui relève de la constatation des faits, d'une part, et de l'appréciation juridique des faits constatés, d'autre part. On ne saurait exclure que le congé donné par le travailleur puisse être fondé sur plusieurs motifs, tous imputables à l'employeur, et que ceux-ci soient propres à entraîner l'extinction de la prohibition de concurrence en raison de leur concours, alors qu'aucun d'eux ne serait, à lui seul, suffisamment important au regard de l' art. 340c al. 2 CO (cf. ATF 130 III 353 consid. 2.2.1 p. 359). Il n'est pas d'emblée exclu, non plus, que dans le procès relatif la prohibition de concurrence, le travailleur puisse utilement invoquer des motifs de congé qu'il n'aurait, jusque là, jamais communiqués à l'autre partie (cf. Ullin Streiff et Adrian von Kaenel, Arbeitsvertrag, 6e éd., Zurich 2006, n° 9 ad art. 340c CO ). Mais en l'espèce, il est constaté que la demanderesse a conclu un nouveau contrat de travail en étant consciente qu'elle enfreindrait la prohibition de concurrence, qu'elle a résilié le contrat en cours sans adresser aucun reproche à l'employeuse, et qu'elle lui a mensongèrement déclaré vouloir se reconvertir dans un autre secteur d'activité. Au regard de cette situation particulière, le moyen tiré de l' art. 340c al. 2 CO peut être rejeté sans plus de discussion et il n'est pas nécessaire d'effectuer une analyse approfondie des conditions de travail au service de cette employeuse.</w:t>
      </w:r>
    </w:p>
    <w:p>
      <w:r>
        <w:rPr>
          <w:b/>
        </w:rPr>
        <w:t>E. 5</w:t>
      </w:r>
    </w:p>
    <w:p>
      <w:r>
        <w:t>Aux termes de l' art. 163 al. 3 CO , le juge doit réduire les peines conventionnelles qu'il estime excessives. Son intervention ne se justifie, toutefois, que si le montant fixé dépasse toute mesure raisonnable et compatible avec le droit et l'équité. Tel est le cas, notamment, lorsqu'il existe une disproportion évidente entre le montant convenu et l'intérêt du créancier à élever la totalité de sa prétention. Les circonstances de l'espèce sont déterminantes; il convient de tenir compte, en particulier, de la nature et de la durée du contrat, de la gravité de la faute, de la situation économique des parties et de leur expérience en affaires. Il n'incombe pas au créancier de prouver que la peine convenue est appropriée, mais au débiteur d'alléguer et d'établir des faits propres à justifier une réduction ( ATF 133 III 201 consid. 5.2 p. 209). La demanderesse allègue que l'agence placée sous sa responsabilité est « partie de zéro » lors de son engagement et qu'elle y a été « exploitée ». Le chiffre d'affaires de l'agence à considérablement diminué après son passage à Y.________ SA mais cette régression est surtout imputable, prétend-elle, « à l'inexpérience [et] au manque d'engagement de la personne qui lui a succédé ». Rien de cela n'est très consistant; sur la base des constatations cantonales, on observe plutôt que la demanderesse a montré une absence totale de scrupules pour entreprendre, en violation flagrante de ses engagements contractuels, de concurrencer la défenderesse précisément sur le marché local que celle-ci lui avait confié. En février 2004, elle avait souscrit la prohibition de concurrence en parfaite connaissance de l'enjeu d'une pareille clause, tant pour elle-même que pour l'autre partie. Il ne s'impose donc pas, dans ces conditions, de réduire la pénalité convenue.</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