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4A_125/2019 vom 16. Juli 2019</w:t>
      </w:r>
    </w:p>
    <w:p>
      <w:r>
        <w:t>Bundesgericht, 2019-07-16, DE</w:t>
      </w:r>
    </w:p>
    <w:p>
      <w:r>
        <w:rPr>
          <w:b/>
        </w:rPr>
        <w:t xml:space="preserve">Quelle: </w:t>
      </w:r>
      <w:r>
        <w:t>https://mcp.opencaselaw.ch/entscheid/bger_4A_125_2019</w:t>
      </w:r>
    </w:p>
    <w:p>
      <w:r>
        <w:t>FR: TF 4A_125/2019 du 16 juillet 2019</w:t>
      </w:r>
    </w:p>
    <w:p>
      <w:r>
        <w:t>IT: TF 4A_125/2019 del 16 luglio 2019</w:t>
      </w:r>
    </w:p>
    <w:p>
      <w:pPr>
        <w:pStyle w:val="Heading2"/>
      </w:pPr>
      <w:r>
        <w:t>Erwägungen</w:t>
      </w:r>
    </w:p>
    <w:p>
      <w:r>
        <w:rPr>
          <w:b/>
        </w:rPr>
        <w:t>E. 1</w:t>
      </w:r>
    </w:p>
    <w:p>
      <w:r>
        <w:t>Das Bundesgericht prüft von Amtes wegen und mit freier Kognition, ob ein Rechtsmittel zulässig ist ( Art. 29 Abs. 1 BGG ; BGE 141 III 395 E. 2.1).</w:t>
      </w:r>
    </w:p>
    <w:p>
      <w:r>
        <w:rPr>
          <w:b/>
        </w:rPr>
        <w:t>E. 1.1</w:t>
      </w:r>
    </w:p>
    <w:p>
      <w:r>
        <w:t>Es geht um eine Zivilrechtsstreitigkeit im Zusammenhang mit geistigem Eigentum bzw. über den Gebrauch einer Firma, für die das Bundesrecht ( Art. 5 Abs. 1 lit. a und c ZPO ) eine einzige kantonale Instanz vorsieht ( Art. 75 Abs. 2 lit. a BGG ). Die Beschwerde in Zivilsachen, die sich gegen einen Endentscheid ( Art. 90 BGG ) richtet, ist demnach unabhängig vom Streitwert zulässig ( Art. 74 Abs. 2 lit. b BGG ). Auf die fristgerecht eingereichte Beschwerde ( Art. 100 Abs. 1 BGG ) ist unter Vorbehalt hinreichender Begründung ( Art. 42 Abs. 2 und Art. 106 Abs. 2 BGG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Hinweisen; vgl. auch BGE 143 IV 40 E. 3.4 S. 44).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1.4</w:t>
      </w:r>
    </w:p>
    <w:p>
      <w:r>
        <w:t>Die Beschwerdeführerin erhebt keine hinreichende Sachverhaltsrüge mit der nicht weiter begründeten Behauptung, die von ihr vorgebrachte erhöhte Kennzeichnungskraft und Bekanntheit ihrer Firmenbezeichnung im Geschäftsverkehr infolge jahrelangen intensiven Gebrauchs sei von der Beschwerdegegnerin nicht substanziiert bestritten worden. Die behauptete Bekanntheit der klägerischen Firma lässt sich nicht auf den von der Vorinstanz festgestellten Sachverhalt stützen und hat daher unbeachtet zu bleiben. Entsprechendes gilt für die Vorbringen, die Tätigkeitsbereiche der Parteien überschnieden sich nicht nur teilweise, sondern vollständig, und es sei zu tatsächlichen Verwechslungen zwischen den Firmen gekommen.</w:t>
      </w:r>
    </w:p>
    <w:p>
      <w:r>
        <w:rPr>
          <w:b/>
        </w:rPr>
        <w:t>E. 2</w:t>
      </w:r>
    </w:p>
    <w:p>
      <w:r>
        <w:t>Die Beschwerdeführerin rügt, die firmenrechtliche Beurteilung der Vorinstanz verletze Art. 951 OR .</w:t>
      </w:r>
    </w:p>
    <w:p>
      <w:r>
        <w:rPr>
          <w:b/>
        </w:rPr>
        <w:t>E. 2.1</w:t>
      </w:r>
    </w:p>
    <w:p>
      <w:r>
        <w:t>Die Firma einer Handelsgesellschaft oder einer Genossenschaft muss sich von allen in der Schweiz bereits eingetragenen Firmen von Handelsgesellschaften und Genossenschaften deutlich unterscheiden ( Art. 951 OR ), ansonsten der Inhaber der älteren Firma wegen Verwechslungsgefahr auf Unterlassung des Gebrauchs der jüngeren Firma klagen kann (vgl. Art. 956 Abs. 2 OR ; BGE 131 III 572 E. 3 S. 575; 122 III 369 E. 1 S. 370). Der Begriff der Verwechslungsgefahr ist nach der bundesgerichtlichen Rechtsprechung für das gesamte Kennzeichenrecht einheitlich zu umschreiben ( BGE 128 III 401 E. 5 S. 403; 127 III 160 E. 2a S. 165; 126 III 239 E. 3a). Es handelt sich dabei um eine Rechtsfrage, die vom Bundesgericht grundsätzlich frei geprüft wird ( BGE 128 III 353 E. 4 S. 359 mit Hinweisen).</w:t>
      </w:r>
    </w:p>
    <w:p>
      <w:r>
        <w:t>Da Handelsgesellschaften und Genossenschaften ihre Firma grundsätzlich frei wählen können, stellt die Rechtsprechung an deren Unterscheidbarkeit im Allgemeinen strenge Anforderungen ( BGE 122 III 369 E. 1 S. 370; 118 II 322 E. 1 S. 323; 92 II 95 E. 2 S. 97).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Entsprechendes gilt bei geographischer Nähe der Unternehmen ( BGE 131 III 572 E. 4.4 S. 580; 118 II 322 E. 1 S. 324; 97 II 234 E. 1 S. 235; Urteile 4A_541/2018 vom 29. Januar 2019 E. 3.1; 4A_83/2018 vom 1. Oktober 2018 E. 3.1).</w:t>
      </w:r>
    </w:p>
    <w:p>
      <w:r>
        <w:t>Ob sich zwei Firmen hinreichend deutlich unterscheiden, ist aufgrund des Gesamteindrucks zu prüfen, den sie beim Publikum hinterlassen. Die Firmen müssen nicht nur bei gleichzeitigem aufmerksamem Vergleich unterscheidbar sein, sondern auch in der Erinnerung auseinandergehalten werden können. Im Gedächtnis bleiben namentlich Firmenbestandteile haften, die durch ihren Klang oder ihren Sinn hervorstechen; solche Bestandteile haben daher für die Beurteilung des Gesamteindrucks einer Firma erhöhte Bedeutung. Dies trifft insbesondere für reine Fantasiebezeichnungen zu, die in der Regel eine stark prägende Kraft haben. Umgekehrt verhält es sich bei gemeinfreien Sachbezeichnungen ( BGE 131 III 572 E. 3 S. 576; 127 III 160 E. 2b/cc S. 168; 122 III 369 E. 1).</w:t>
      </w:r>
    </w:p>
    <w:p>
      <w:r>
        <w:t>Die Gefahr der Verwechslung besteht, wenn die Firma eines Unternehmens für die eines anderen gehalten werden kann (unmittelbare Verwechslungsgefahr) oder wenn bei Aussenstehenden der unzutreffende Eindruck entsteht, die Unternehmen seien wirtschaftlich oder rechtlich verbunden (mittelbare Verwechslungsgefahr; vgl. BGE 129 III 353 E. 3.3 S. 359; 128 III 96 E. 2a; 118 II 322 E. 1 S. 324; je mit Hinweisen). Der Firmenschutz soll dabei nur jene Verwechslungen verhindern, denen der durchschnittliche Firmenadressat mit einer gewissen Wahrscheinlichkeit unterliegt ( BGE 122 III 369 E. 2c mit Hinweis).</w:t>
      </w:r>
    </w:p>
    <w:p>
      <w:r>
        <w:rPr>
          <w:b/>
        </w:rPr>
        <w:t>E. 2.2</w:t>
      </w:r>
    </w:p>
    <w:p>
      <w:r>
        <w:t>Die Vorinstanz erwog, beim Begriff "immobilien" in der Firma der Beschwerdegegnerin handle es sich um ein Wort des sprachlichen Allgemeingebrauchs bzw. einen Hinweis auf den Tätigkeitsbereich des Unternehmens, mithin um einen kennzeichnungsschwachen Firmenbestandteil. Dasselbe gelte für den Hinweis auf die Rechtsform der AG in der Firma der Beschwerdeführerin bzw. der GmbH in der Firma der Beschwerdegegnerin. Das Augenmerk des Publikums liege somit eher auf den prägenden Firmenbestandteilen "altrimo" und "atrimos", die auch jeweils an prominenter erster Stelle stünden. Immerhin weise die Firma der Beschwerdegegnerin aufgrund des Zusatzes einen längeren Schriftzug auf, was zu einem unterschiedlichen Schriftbild führe.</w:t>
      </w:r>
    </w:p>
    <w:p>
      <w:r>
        <w:t>Die Beschwerdeführerin verwende im Geschäftsverkehr die Firma als Logo, indem sie mit senkrechten Strichen die drei Bestandteile "al", "tr" und "imo" abtrenne ("| al | tr | imo |") und zudem die Begriffe Allfinanz, Treuhand und Immobilien aufführe. Firmenrechtlich relevant sei allerdings ausschliesslich der Wortlaut der Firma, wie er im Handelsregister eingetragen sei, weshalb bei der Frage der Verwechselbarkeit der Geschäftsauftritt der Beschwerdeführerin, insbesondere das im Zusammenhang mit "altrimo" verwendete Logo, nicht von Bedeutung sei. Der Firmenbestandteil "altrimo" sei somit eine Fantasiebezeichnung und als prägendes Element zu qualifizieren. Auch "Atrimos" sei eine Fantasiebezeichnung und kein konventionelles Wort, dessen Bedeutung per se oder durch Konsultation eines Wörterbuchs erschlossen werden könne. Die Endung "-os" lasse einen griechischen Ursprung vermuten (wie etwa bei logos, eros oder pathos). Daneben könne auch die Assoziation entstehen, dass es etwas mit dem lateinischen "Atrium", d.h. einem Innenhof in einem einstöckigen Haus, zu tun haben könne. Tatsächlich handle es sich jedoch weder um ein griechisches Wort noch um eine abweichende Schreibweise von "Atrium", sondern um eine reine Fantasiebezeichnung, die vom Publikum auch so wahrgenommen werde. Insgesamt verfüge der Firmenbestandteil "atrimos" über eine starke Kennzeichnungskraft. Beim Schriftbild einer Firma seien die Zusätze, auch wenn sie beschreibend sind, zu berücksichtigen, da sie dieses wesentlich zu verändern vermöchten. Dies sei hier der Fall, da durch den Zusatz "immobilien" die Firma der Beschwerdegegnerin wesentlich länger werde.</w:t>
      </w:r>
    </w:p>
    <w:p>
      <w:r>
        <w:t>Ausgehend davon, dass die Firmen eine gewisse Ähnlichkeit im Schriftbild aufwiesen, sich aber phonetisch durchaus unterschieden, gelte es zu beurteilen, ob aufgrund des Gesamteindrucks eine Verwechslungsgefahr bestehe, bleibe dieser doch letztlich im Gedächtnis des Publikums haften. Gemäss Handelsregisterauszug seien zwar sowohl die Beschwerdeführerin als auch die Beschwerdegegnerin in der Immobilienbranche tätig. Die Beschwerdeführerin habe jedoch ein bedeutend weiteres Geschäftsfeld, besorge sie doch alle im Tätigkeitsbereich einer Treuhandgesellschaft liegenden Geschäfte und Funktionen. Die Beschwerdegegnerin beschränke ihre Dienstleistungen hingegen klar auf die Bereiche Immobilien und Bautreuhand, was sie auch mit dem Zusatz "immobilien" in ihrer Firma zum Ausdruck bringe. Die prägenden Bestandteile "altrimo" und "atrimos" unterschieden sich in erheblichem Masse im Klang; so unterschieden sich etwa bereits die einzelnen Silben recht stark (al-tri-mo bzw. alt-ri-mo vs. a-tri-mos). Zudem sei davon auszugehen, dass die massgebenden Publikumskreise die starken Firmenbestandteile unterschiedlich betonten (altrí mo vs. á trimos). Aufgrund der erwähnten Assoziation zum Griechischen (logos, eros oder pathos) und allenfalls Lateinischen (atrium) sei davon auszugehen, dass "atrimos" auf der ersten Silbe (átrimos) betont werde. Dies gelte umso mehr, als auch in der deutschen Sprache in der Regel ein einzelnes A als Anfangssilbe betont sei (wie bei Ameise). Dies im Gegensatz zur Bezeichnung "altrimo", bei der die Betonung auf der zweiten Silbe (altrímo) naheliege. Da beide Parteien in der Deutschschweiz tätig seien, würden die massgeblichen Verkehrskreise "atrimos" in Übereinstimmung mit der Schreibweise aussprechen, d.h. dass mithin das "s" am Schluss stimmhaft sei. Dafür spreche auch die erwähnte Assoziation zu Worten, die aus dem Griechischen stammten, bei denen das ausgesprochene "s" bzw. die Endung -os geradezu charakteristisch sei und den Reiz der beklagtischen Firma ausmache.</w:t>
      </w:r>
    </w:p>
    <w:p>
      <w:r>
        <w:t>Bei der Beurteilung der Ähnlichkeit zweier Firmen seien nicht die einzelnen Buchstaben, der Wortanfang oder das Wortende und auch nicht die Silbenzahl für sich alleine entscheidend. Massgebend sei vielmehr immer und einzig der Gesamteindruck, den diese Zeichen beim massgebenden Publikum hinterliessen, und zwar sowohl akustisch, optisch als auch vom Sinngehalt her. Die Würdigung des Gesamteindrucks führe vorliegend zum Schluss, dass zwar eine Ähnlichkeit im Schriftbild des prägenden Bestandteils der beiden Firmen bestehe (altrimo vs. atrimos) und sich die Geschäftsbereiche der Parteien zumindest teilweise überschnieden. Aufgrund des Umstands, dass die Firma der Beschwerdegegnerin mit dem weiteren Zusatz "immobilien" deutlich länger sei (altrimo ag vs. atrimos immobilien gmbh), sich der Klang des prägenden Bestandteils sowohl aufgrund der Silben (al-tri-mo bzw. alt-ri-mo vs. a-tri-mos) wie auch der Betonung (altrímo bzw. ált rímo vs. átrimos) wesentlich unterschieden, sei von einer hinreichenden Unterscheidbarkeit der beklagtischen Firma auszugehen. Dabei berücksichtigte die Vorinstanz insbesondere, dass der Firma der Beschwerdegegnerin eine Assoziation mit der griechischen Sprache inhärent sei, die der klägerischen Firma völlig fehle, und das Präfix "alt" in der deutschen Sprache durchaus eine geläufige Bedeutung habe, was bei der klägerischen Firma zum Gedanken verleite, die "altrimo" wolle sich von einer "neurimo" abgrenzen. Die beiden Fantasiebezeichnungen bewirkten somit äusserst unterschiedliche Assoziationen. Eine firmenrechtliche Verwechslungsgefahr sei daher zu verneinen. Ausserdem liege auch keine wettbewerbsrechtlich relevante Verwechslungsgefahr ( Art. 3 Abs. 1 lit. d UWG ) oder ein nach einer anderen Bestimmung des UWG verpöntes Verhalten vor.</w:t>
      </w:r>
    </w:p>
    <w:p>
      <w:r>
        <w:rPr>
          <w:b/>
        </w:rPr>
        <w:t>E. 2.3</w:t>
      </w:r>
    </w:p>
    <w:p>
      <w:r>
        <w:t>Die Beschwerdeführerin vermag keine unrichtige Anwendung der für die Beurteilung der Verwechslungsgefahr massgebenden Grundsätze aufzuzeigen, indem sie zwei isolierte Satzteile im angefochtenen Entscheid herausgreift und gestützt darauf geltend macht, die entsprechende Würdigung der Vorinstanz hätte ohne Weiteres zur Gutheissung der Klage führen müssen. Die Vorinstanz hat es zu Recht nicht bei der Feststellung einer gewissen Ähnlichkeit der beiden prägenden Elemente "altrimo" und "atrimos" im Schriftbild belassen, sondern hat bei der Würdigung des Gesamteindrucks vielmehr zutreffend die Unterschiede im Wortklang sowie den geweckten Gedankenassoziationen berücksichtigt. Die Massgeblichkeit des Gesamteindrucks verbietet es gerade, einzig auf die Ähnlichkeit eines einzelnen Elements abzustellen. Zudem liegt im konkreten Fall (mit Ausnahme des Anfangsbuchstabens) auch keine Übereinstimmung im Wortanfang vor, weshalb der in der Beschwerde erhobene Vorwurf, die Vorinstanz habe einen damit zusammenhängenden anerkannten Grundsatz missachtet, ins Leere stösst.</w:t>
      </w:r>
    </w:p>
    <w:p>
      <w:r>
        <w:t>Auch die von der Beschwerdeführerin ins Feld geführten Übereinstimmungen zwischen "altrimo" und "atrimos", nämlich dass beide Firmenbestandteile gleich viele Buchstaben enthalten und im Handelsregister in Kleinbuchstaben eingetragen sind, führen angesichts der im angefochtenen Entscheid hervorgehobenen Unterschiede nicht zu einer Verwechselbarkeit der beiden Firmen. Ebenso wenig vermag sie mit dem Einwand, die Vergleichszeichen wiesen den gleichen Anfangsbuchstaben ("a"), gleichviele Silben (je drei) und dieselbe Vokalfolge ("A-I-O") auf, die vorinstanzlichen Erwägungen zu den Unterschieden im Wortklang als bundesrechtswidrig auszuweisen. Ausserdem ist der Vorinstanz auch keine Verletzung der Dispositionsmaxime ( Art. 58 ZPO ; gemeint wohl: des Verhandlungsgrundsatzes nach Art. 55 Abs. 1 ZPO ) vorzuwerfen, wenn sie im Rahmen der Beurteilung der Rechtsfrage der Verwechslungsgefahr (vgl. BGE 128 III 353 E. 4 S. 359 mit Hinweisen) eigene Überlegungen zu den mit den jeweiligen Firmenbestandteilen geweckten Assoziationen anstellte und dafürhielt, "atrimos" weise einen griechischen Anklang auf. Daran vermag auch die in der Beschwerdeschrift enthaltene Auflistung von Wörtern mit der Endung "-os" nichts zu ändern, bei denen es sich überwiegend um den Plural von Wörtern handelt, die im Singular auf "-o" enden. Eine Verletzung von Art. 951 OR wird damit nicht dargetan.</w:t>
      </w:r>
    </w:p>
    <w:p>
      <w:r>
        <w:t>Die Vorinstanz hat im Weiteren berücksichtigt, dass sich die Geschäftsbereiche der Parteien zumindest teilweise überschneiden. Der Umstand, dass sie die geographische Nähe der Parteien im Zusammenhang mit der Verwechslungsgefahr nicht ausdrücklich erwähnte, bedeutet nicht ohne Weiteres, dass diese Nähe bei der rechtlichen Beurteilung "einfach ausgeblendet" worden wäre. Der Beschwerdeführerin kann jedenfalls nicht gefolgt werden, wenn sie vorbringt, die Vorinstanz habe statt des gebotenen besonders strengen einen "milderen" Beurteilungsmassstab angesetzt; konkrete Anhaltspunkte für einen unzutreffenden Beurteilungsmassstab werden in der Beschwerde denn auch nicht aufgezeigt.</w:t>
      </w:r>
    </w:p>
    <w:p>
      <w:r>
        <w:rPr>
          <w:b/>
        </w:rPr>
        <w:t>E. 2.4</w:t>
      </w:r>
    </w:p>
    <w:p>
      <w:r>
        <w:t>Entgegen dem, was die Beschwerdeführerin anzunehmen scheint, hat die Vorinstanz auch nicht etwa erwogen, das Element "immobilien" in der Firma der Beschwerdegegnerin führe für sich genommen zur hinreichenden Unterscheidbarkeit im Sinne von Art. 951 OR . Sie ist vielmehr zutreffend davon ausgegangen, dass es sich beim Firmenbestandteil "immobilien" um einen beschreibenden und damit kennzeichnungsschwachen Firmenbestandteil handelt und hat einzig berücksichtigt, dass sich durch diesen Zusatz die Firma der Beschwerdegegnerin verlängert und damit auch das Schriftbild der Firma verändert. Auch mit dem Vorbringen, "in der Realität [würden] lange Firmenbezeichnungen erfahrungsgemäss im mündlichen Verkehr und auch am Telefon häufig verkürzt und damit die kennzeichnungsschwachen Elemente einfach weggelassen", vermag die Beschwerdeführerin keine Verletzung von Art. 951 OR aufzuzeigen.</w:t>
      </w:r>
    </w:p>
    <w:p>
      <w:r>
        <w:rPr>
          <w:b/>
        </w:rPr>
        <w:t>E. 2.5</w:t>
      </w:r>
    </w:p>
    <w:p>
      <w:r>
        <w:t>Der Beschwerdeführerin kann auch nicht gefolgt werden, wenn sie der Vorinstanz vorwirft, sie habe zu Unrecht auf eine Prüfung der mittelbaren Verwechslungsgefahr verzichtet. Im angefochtenen Entscheid wird zutreffend darauf hingewiesen, dass die Gefahr einer Verwechslung auch darin bestehen kann, dass bei Aussenstehenden der unzutreffende Eindruck entsteht, die Unternehmen seien wirtschaftlich oder rechtlich verbunden. Wie die Beschwerdegegnerin zutreffend einwendet, hat die Vorinstanz mit ihrer Erwägung, wonach sich die beanstandete Firma "atrimos immobilien gmbh" hinreichend von der klägerischen Firma "altrimo ag" unterscheide, auch eine mittelbare Verwechslungsgefahr ausgeschlossen. Woraus sich eine solche ergeben soll, zeigt die Beschwerdeführerin im Übrigen nicht konkret auf.</w:t>
      </w:r>
    </w:p>
    <w:p>
      <w:r>
        <w:rPr>
          <w:b/>
        </w:rPr>
        <w:t>E. 2.6</w:t>
      </w:r>
    </w:p>
    <w:p>
      <w:r>
        <w:t>Unzutreffend ist zudem der in der Beschwerde erhobene Einwand, die Vorinstanz habe ihrer Prüfung der Verwechslungsgefahr in Verletzung von Art. 951 OR nicht den eingetragenen Firmenwortlaut, sondern den tatsächlichen Gebrauch als Logo im Verkehr zugrunde gelegt. Im angefochtenen Entscheid wird zwar im Zusammenhang mit dem Sinngehalt von "altrimo" das von der Beschwerdeführerin tatsächlich verwendete Logo erwähnt, jedoch unmittelbar anschliessend ausdrücklich darauf hingewiesen, dass das verwendete Logo firmenrechtlich nicht von Bedeutung ist. Darin ist keine Bundesrechtsverletzung zu erblicken; vielmehr hat die Vorinstanz die erwähnte Gesetzesbestimmung korrekt angewendet.</w:t>
      </w:r>
    </w:p>
    <w:p>
      <w:r>
        <w:t>Schliesslich vermag die Beschwerdeführerin auch mit ihren Ausführungen unter dem Titel "Fehlende rechtliche Würdigung aktenkundiger, relevanter Tatsachen" keine Bundesrechtsverletzung aufzuzeigen. Abgesehen davon, dass ihre tatsächlichen Behauptungen hinsichtlich der angeblichen Bekanntheit, der Branchenidentität sowie der tatsächlich vorgekommenen Verwechslungen unbeachtlich sind (E. 1.4) und sich die Vorbringen zur geographischen Nähe als unbehelflich erwiesen haben (E. 2.3), behauptet die Beschwerdeführerin lediglich allgemein, die Vorinstanz habe bei der Beurteilung der Verwechslungsgefahr zu Unrecht das Sprachverständnis in anderen Sprachregionen der Schweiz ausser Acht gelassen, zeigt aber auch in diesem Zusammenhang nicht konkret auf, inwiefern der angefochtene Entscheid im Ergebnis bundesrechtswidrig sein soll.</w:t>
      </w:r>
    </w:p>
    <w:p>
      <w:r>
        <w:t>Der Vorwurf der Verletzung von Art. 951 OR erweist sich insgesamt als unbegründet.</w:t>
      </w:r>
    </w:p>
    <w:p>
      <w:r>
        <w:rPr>
          <w:b/>
        </w:rPr>
        <w:t>E. 3</w:t>
      </w:r>
    </w:p>
    <w:p>
      <w:r>
        <w:t>Unbegründet ist im Weiteren der Vorwurf, die Vorinstanz habe die Anwendbarkeit von Art. 3 Abs. 1 lit. d UWG zu Unrecht abgelehnt. Die Vorinstanz hat nicht verkannt, dass das UWG neben dem Firmenrecht zur Anwendung kommt. Vielmehr hat sie ausdrücklich darauf hingewiesen, dass bei der Prüfung der lauterkeitsrechtlichen Verwechslungsgefahr nicht nur auf die eingetragenen Firmen, sondern auf den tatsächlichen Auftritt im Markt abzustellen sei. In der Folge prüfte sie die tatsächlich von den Parteien verwendeten Logos und bejahte eine hinreichende Unterscheidbarkeit. Entsprechend hat die Vorinstanz nicht verkannt, dass ein nach Art. 3 Abs. 1 lit. d UWG oder einer anderen Bestimmung des UWG verpöntes Verhalten auch dann vorliegen kann, wenn eine firmenrechtliche Verwechslungsgefahr ausser Betracht fällt.</w:t>
      </w:r>
    </w:p>
    <w:p>
      <w:r>
        <w:t>Unter der Überschrift "Unrichtige Anwendung des UWG" übt die Beschwerdeführerin einmal mehr unzulässige Kritik am angefochtenen Entscheid, indem sie in allgemeiner Weise verschiedene Begleitumstände (gesteigerte Bekanntheit, vollständige Branchenidentität, tatsächlich erfolgte Verwechslungen) ins Feld führt, die sich nicht auf die Sachverhaltsfeststellungen im angefochtenen Entscheid stützen lassen. Abgesehen davon lässt sie es auch hier bei der nicht weiter begründeten Behauptung bewenden, berücksichtige man diese Begleitumstände, müsse auch die lauterkeitsrechtliche Verwechslungsgefahr bejaht werden. Eine Verletzung der massgebenden Bestimmungen des UWG wird damit nicht aufgezeigt.</w:t>
      </w:r>
    </w:p>
    <w:p>
      <w:r>
        <w:t>Auf die weiteren im vorinstanzlichen Verfahren geltend gemachten Ansprüche - so insbesondere den gegen die Verwendung des Domainnamens "atrimos-immobilien.ch" erhobenen namensrechtlichen Anspruch (vgl. Art. 29 Abs. 2 ZGB ) - geht die Beschwerdeführerin vor Bundesgericht nicht mehr ein.</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