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125/2018 vom 26. Juli 2018</w:t>
      </w:r>
    </w:p>
    <w:p>
      <w:r>
        <w:t>Bundesgericht, 2018-07-26, DE</w:t>
      </w:r>
    </w:p>
    <w:p>
      <w:r>
        <w:rPr>
          <w:b/>
        </w:rPr>
        <w:t xml:space="preserve">Quelle: </w:t>
      </w:r>
      <w:r>
        <w:t>https://mcp.opencaselaw.ch/entscheid/bger_4A_125_2018</w:t>
      </w:r>
    </w:p>
    <w:p>
      <w:r>
        <w:t>FR: TF 4A 125/2018 du 26 juillet 2018</w:t>
      </w:r>
    </w:p>
    <w:p>
      <w:r>
        <w:t>IT: TF 4A 125/2018 del 26 luglio 2018</w:t>
      </w:r>
    </w:p>
    <w:p>
      <w:pPr>
        <w:pStyle w:val="Heading2"/>
      </w:pPr>
      <w:r>
        <w:t>Regeste</w:t>
      </w:r>
    </w:p>
    <w:p>
      <w:r>
        <w:t>Internationale Schiedsgerichtsbarkeit, Anwaltshonorar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2.1</w:t>
      </w:r>
    </w:p>
    <w:p>
      <w:r>
        <w:t>Im Bereich der Schiedsgerichtsbarkeit ist die Beschwerde in Zivilsachen in der internationalen Schiedsgerichtsbarkeit unter den Voraussetzungen der Art. 190-192 IPRG (SR 291) zulässig ( Art. 77 Abs. 1 lit. a BGG ).</w:t>
      </w:r>
    </w:p>
    <w:p>
      <w:r>
        <w:rPr>
          <w:b/>
        </w:rPr>
        <w:t>E. 2.2</w:t>
      </w:r>
    </w:p>
    <w:p>
      <w:r>
        <w:t>Der Sitz des Schiedsgerichts befindet sich vorliegend in Zürich. Die Beschwerdeführerin hatte im massgebenden Zeitpunkt ihren Sitz ausserhalb der Schweiz ( Art. 176 Abs. 1 IPRG ). Die Parteien haben von der Möglichkeit von Art. 176 Abs. 2 IPRG keinen Gebrauch gemacht und die Anwendung des dritten Kapitels der ZPO nicht in einer ausdrücklichen Erklärung vereinbart. Da sie die Geltung des 12. Kapitels des IPRG nicht ausdrücklich ausgeschlossen haben, gelangen die Bestimmungen dieses Kapitels zur Anwendung ( Art. 176 Abs. 2 IPRG ).</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Eine Ausnahme liegt hier nicht vor (vgl. BGE 136 III 605 E. 3.3.4 S. 616 mit Hinweisen).</w:t>
      </w:r>
    </w:p>
    <w:p>
      <w:r>
        <w:rPr>
          <w:b/>
        </w:rPr>
        <w:t>E. 2.4</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rügt in erster Linie eine Verletzung von Art. 190 Abs. 2 lit. e IPRG . Sie hält dafür, die Auslegung des Einzelschiedsrichters der Honorarvereinbarung widerspreche dem Prinzip der Unabhängigkeit des Anwalts sowohl durch die Höhe des Erfolgshonorars wie durch die unterschiedliche Regelung bei Verfahrensabschluss durch Entscheid oder Vergleich. Dieses Prinzip sei derart missachtet, dass der Ordre public verletzt werde.</w:t>
      </w:r>
    </w:p>
    <w:p>
      <w:r>
        <w:rPr>
          <w:b/>
        </w:rPr>
        <w:t>E. 3.1.1</w:t>
      </w:r>
    </w:p>
    <w:p>
      <w:r>
        <w:t>Im Urteil 4A_240/2016 vom 13. Juni 2017 ( BGE 143 III 600 ) hat sich das Bundesgericht mit der Zulässigkeit des sog. pactum de palmario auseinandergesetzt, und diese nur unter bestimmten Voraussetzungen bejaht. Der Einzelschiedsrichter hat auf diesen Entscheid Bezug genommen und die fragliche Honorarvereinbarung in ausdrücklicher Abweichung von der bundesgerichtlichen Rechtssprechung als zulässig eingestuft. Aus Sicht des Einzelschiedsrichters sei weder die Ausgestaltung des Erfolgshonorars noch dessen Höhe unzulässig.</w:t>
      </w:r>
    </w:p>
    <w:p>
      <w:r>
        <w:rPr>
          <w:b/>
        </w:rPr>
        <w:t>E. 3.1.2</w:t>
      </w:r>
    </w:p>
    <w:p>
      <w:r>
        <w:t>Die das U.________-Schiedsverfahren betreffende Honorarvereinbarung zeichnet sich dadurch aus, dass sie eine unterschiedliche Regelung je nach Art der Verfahrenserledigung vorsieht. Nach der Auslegung des Schiedsrichters seien im Fall einer Erledigung des U.________-Verfahrens durch Vergleich 4% der Summe der zugesprochenen Klageansprüche und der abgewehrten Widerklageansprüche als Erfolgsprämie geschuldet. Im Fall einer Erledigung durch einen Schiedsentscheid betrage die Erfolgsprämie 15% der zugesprochenen Klageansprüche, jedoch ohne Berücksichtigung der von D.________ GmbH widerklageweise geltend gemachten Ansprüche. Bei den im U.________-Schiedsverfahren von den Parteien erhobenen Ansprüchen (Klage: EURO 10'237'171; Widerklage: EURO 147'212'967.38) führt die Berücksichtigung der Widerklageansprüche ausschliesslich bei einer einvernehmlichen Erledigung des Rechtsstreits dazu, dass die Beschwerdegegnerin ein erhebliches ökonomisches Interesse daran hatte, dass das Schiedsverfahren mittels Vergleichs beendet wird. Für die Begründung des Anspruches der Beschwerdegegnerin auf die maximale Erfolgsprämie von Fr. 1'500'000.-- hätten bei einer Verfahrenserledigung durch einen Schiedsentscheid über 97% der Ansprüche der Beschwerführerin ihr zugesprochen werden müssen. Bei einem Vergleich wäre hingegen bereits die Abwehr von ca. einem Viertel der von D.________ GmbH erhobenen Ansprüche für die maximale Erfolgsprämie ausreichend gewesen. Der Schiedsrichter stellte fest, im Falle einer Verfahrenserledigung mittels Vergleichs sei die maximale Erfolgsprämie von Fr. 1'500'000.-- fast immer geschuldet. Nach dem dritten Absatz der fraglichen Klausel behält sich die Beschwerdegegnerin vor, falls sie ein von D.________ GmbH unterbreitetes Vergleichsangebot für angemessen erachtet und die Beschwerdeführerin es nicht annimmt, die Vergütung zu verlangen, die ihr beim Abschluss des entsprechenden Vergleichs zugestanden hätte ("Should B.________ AG consider a settlement offer made by D.________ GmbH to be appropriate, it may request A.________ SA to consent to such offer. Should A.________ SA not wish to agree to the settlement offer, B.________ AG in its own discretion may opt to be compensated in line with this success fee arrangement as if the settlement offer had been accepted."). Mit dieser Klausel wird vertraglich abgesichert, dass die Beschwerdegegnerin auch für den Fall entschädigt wird, dass die Beschwerdeführerin ein Vergleichsangebot nicht annehmen will. Damit wird die "Erfolgsprämie" auch für den Fall sichergestellt, dass die Beschwerdeführerin ein aus eigener Sicht ungünstiges Vergleichsangebot nicht annehmen möchte. Ob vor dem Hintergrund dessen, dass die maximale Prämie bei einer Verfahrenserledigung durch Vergleich in fast jedem Szenario geschuldet sein sollte, überhaupt noch von einer Erfolgs prämie ( success fee ) die Rede sein kann, sei dahingestellt. Das in der Lehre häufig anzutreffende Argument, wonach ein Erfolgshonorar im Vergleich zum klassischen Studenhonorar zur verbesserten Wahrnehmung der Interessen der Klientschaft beitragen kann (vgl. BENJAMIN SCHUMACHER/ROBERTO DALLAFIOR, Die Vereinbarung von Erfolgsprämien für den Anwalt, AJP 2017, S. 1284 ff.; KASPAR SCHILLER, Erfolgshonorare nach BGFA: nur die Vereinbarung der reinen Beteiligung am Prozessgewinn ist verboten, Anwaltsrevue 1/2010 S. 44; WILHELM G. BONER, Die wirtschaftliche Unabhängigkeit des Anwalts nach BGFA, ZZZ 2007 S. 161; WALTER FELLMANN, Berner Kommentar, 1992, N. 456 zu Art. 394 OR ), setzt - selbstverständlich - voraus, dass die zwischen dem Anwalt und seinem Klienten zustande gekommene Honorarvereinbarung einen entsprechenden Anreiz schafft. Eine konstellationsabhängige Regelung des Anwaltshonorars wie die vorliegende vermag jedenfalls die gebotene Interessenparallelität nicht zu gewähren. Es liegt auf der Hand, dass ein Vergleich über die strittigen Ansprüche aus Sicht der Klientin zwar eine angemessene Lösung darstellen kann, jedoch nicht immer die für sie günstigste Verfahrenserledigungsart sein muss. Die für das U.________-Schiedsverfahren vom Einzelschiedsrichter zugesprochene "Erfolgsprämie", die ca. das Fünffache des erfolgsunabhängigen Honorars beträgt und gestützt auf eine Vereinbarung zugesprochen wurde, die aus Sicht des Anwalts einen erheblichen ökonomischen Anreiz für den Abschluss eines Vergleiches schafft, ist unter dem Gesichtspunkt der Wahrung der anwaltlichen Unabhängigkeit besonders problematisch. Sie ist sowohl vor dem Hintergrund von Art. 12 lit. e BGFA wie auch von Art. 12 lit. i BGFA , wonach der Anwalt hinsichtlich der Grundsätze seiner Rechnungsstellung für klare Verhältnisse zu sorgen hat, kritisch zu hinterfragen. Für den Ausgang des vorliegenden Verfahrens ist dies jedoch nicht ausschlaggebend, sind doch gegen den Schiedsspruch allein die Rügen zulässig, die in Art. 190 Abs. 2 IPRG abschliessend aufgezählt sind.</w:t>
      </w:r>
    </w:p>
    <w:p>
      <w:r>
        <w:rPr>
          <w:b/>
        </w:rPr>
        <w:t>E. 3.2.1</w:t>
      </w:r>
    </w:p>
    <w:p>
      <w:r>
        <w:t>Der Ordre public ( Art. 190 Abs. 2 lit. e IPRG ) hat sowohl einen materiellen als auch einen verfahrensrechtlichen Gehalt.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 BGE 138 III 322 E. 4.1 sowie E. 4.3.1 und 4.3.2 mit Hinweisen).</w:t>
      </w:r>
    </w:p>
    <w:p>
      <w:r>
        <w:rPr>
          <w:b/>
        </w:rPr>
        <w:t>E. 3.2.2</w:t>
      </w:r>
    </w:p>
    <w:p>
      <w:r>
        <w:t>Wie der Einzelschiedsrichter im angefochtenen Entscheid richtig erkennt, soll das Prinzip der Unabhängigkeit des Anwalts nach nationalem Verständnis die Vertrauenswürdigkeit des Anwaltsstandes gegenüber dem rechtsuchenden Publikum garantieren, indem der Wahrung der Interessen des rechtsuchenden Mandanten in gewissen Konstellationen von Vorneherein der Vorrang vor allfälligen divergierenden Interessen eingeräumt wird. Namentlich wird mit der Garantie der Unabhängigkeit des Anwalts die nach schweizerischem Recht ohnehin bestehende Pflicht des Beauftragten verstärkt, eigene Interessen im Rahmen der fremdnützigen Tätigkeit zu vernachlässigen. Ob dieser Grundsatz der Unabhängigkeit des Anwalts überhaupt zu den fundamentalen Prinzipien gehören kann, die nach schweizerischem Verständnis von allen Rechtsstaaten anerkannt werden, sei dahingestellt. Denn vorliegend geht es nicht um die Unabhängigkeit der Anwälte gegenüber der Gegenpartei der Beschwerdeführerin in den ICC-Schiedsverfahren, sondern um den Konflikt mit eigenen finanziellen Interessen der Beschwerdegegnerin.</w:t>
      </w:r>
    </w:p>
    <w:p>
      <w:r>
        <w:rPr>
          <w:b/>
        </w:rPr>
        <w:t>E. 3.2.3</w:t>
      </w:r>
    </w:p>
    <w:p>
      <w:r>
        <w:t>Das Bundesgericht musste sich bereits mehrmals mit der Vereinbarkeit von anwaltlichen Erfolgshonoraren mit dem schweizerischen Ordre public auseinandersetzen. Im Urteil 5A_409/2014 vom 15. September 2014 wurde im Rahmen eines Exequaturverfahrens ein Schiedsspruch zu einer erfolgsabhängigen Vergütung von USD 1'837'500 (entsprechend ca. 2% der gesamten Vergleichssumme) als mit dem Ordre public vereinbar eingestuft. In einem anderen Urteil erblickte das Bundesgericht in einem ausländischen Schiedsentscheid zu einer Vereinbarung, wonach das geschuldete Honorar 30% des Prozessgewinns betrage, keinen Verstoss gegen den materiellrechtlichen Ordre public (Urteil 5P.201/1994 vom 9. Januar 1995 E. 7). Auch bei einem Erfolgshonorar von über Fr. 6'500'000.--, entsprechend circa 6.5% des Vermögensinteresses, wurde ein Verstoss gegen den Ordre public verneint (Urteil 5P.128/2005 vom 11. Juli 2005 E. 2.3), dies obwohl es sich bei der fraglichen Honorarvereinbarung um ein - in der Schweiz unzulässiges - pactum de quota litis handelte.</w:t>
      </w:r>
    </w:p>
    <w:p>
      <w:r>
        <w:rPr>
          <w:b/>
        </w:rPr>
        <w:t>E. 3.3</w:t>
      </w:r>
    </w:p>
    <w:p>
      <w:r>
        <w:t>Angesichts des Verhältnisses zwischen deren fixen und variablen Teil sowie deren konstellationsneutralen Ausgestaltung ist die für das V.________-Schiedsverfahren auszurichtende Vergütung unproblematisch. Das gemäss dem angefochtenen Schiedsspruch für das U.________-Schiedsverfahren geschuldete Honorar entspricht seinerseits gemäss der verbindlichen Feststellung des Einzelschiedsrichters weniger als 2% des strittigen Anspruches. Von einem Verstoss gegen fundamentale Rechtsgrundsätze, die nach in der Schweiz herrschender Auffassung Grundlage jeder Rechtsordnung bilden sollte, kann angesichts dessen nicht die Rede sein. Weder das Missverhältnis zwischen dem erfolgsabhängigen und dem erfolgsunabhängigen Teil der Vergütung noch die vom Vergütungsmechanismus bewirkte fehlende Interessensparallelität vermögen eine Ordre public-Widrigkeit zu begründen.</w:t>
      </w:r>
    </w:p>
    <w:p>
      <w:r>
        <w:rPr>
          <w:b/>
        </w:rPr>
        <w:t>E. 4</w:t>
      </w:r>
    </w:p>
    <w:p>
      <w:r>
        <w:t>Die Beschwerdeführerin rügt eine Verletzung ihres Anspruches auf rechtliches Gehör sowie eine Verletzung des Grundsatzes der Gleichbehandlung der Parteien ( Art. 190 Abs. 2 lit. d IPRG ).</w:t>
      </w:r>
    </w:p>
    <w:p>
      <w:r>
        <w:rPr>
          <w:b/>
        </w:rPr>
        <w:t>E. 4.1</w:t>
      </w:r>
    </w:p>
    <w:p>
      <w:r>
        <w:t>Zunächst sei Art. 190 Abs. 2 lit. d IPRG durch die Nichtabnahme des Zeugnisses von G.________ verletzt worden. Beruht der angefochtene Entscheid auf mehreren selbständigen Begründungen, die je für sich den Ausgang des Rechtsstreits besiegeln, so hat die beschwerdeführende Partei darzulegen, dass jede von ihnen Recht verletzt; andernfalls kann auf die Beschwerde nicht eingetreten werden ( BGE 138 III 728 E. 3.4). Diesen Voraussetzungen kommt die Beschwerdeführerin nicht nach, setzt sie sich doch ausschliesslich mit den Ausführungen des Schiedsrichters auseinander, wonach der Beweisantrag verspätet sei bzw. die Beweisabnahme auf dem Rechtsmittelweg zu einer Verzögerung des Verfahrens geführt hätte. Mit der selbständig tragenden Eventualbegründung des Schiedsrichters, auf die Beweisabnahme könne in antizipierter Beweiswürdigung verzichtet werden, befasst sie sich hingegen nicht. Mangels hinreichender Auseinandersetzung mit dem vorinstanzlichen Entscheid ist auf die Rüge nicht einzutreten.</w:t>
      </w:r>
    </w:p>
    <w:p>
      <w:r>
        <w:rPr>
          <w:b/>
        </w:rPr>
        <w:t>E. 4.2</w:t>
      </w:r>
    </w:p>
    <w:p>
      <w:r>
        <w:t>Die Beschwerdeführerin erblickt eine weitere Verletzung ihres Anspruches auf rechtliches Gehör darin, dass der Einzelschiedsrichter wesentliche Vorbringen nicht beachtet habe. Die Beschwerdeführerin verkennt die Tragweite des Anspruches auf rechtliches Gehör. Aus diesem ergibt sich nicht, dass sich der Einzelschiedsrichter mit allen Parteistandpunkten einlässlich auseinandersetzten und jedes einzelne Vorbringen ausdrücklich widerlegen muss. Es genügt vielmehr, wenn er die für seinen Entscheid wesentlichen Überlegungen nennt, von denen er sich hat leiten lassen und auf welche er sich stützt, so dass die betroffene Person den Entscheid in voller Kenntnis der Sache anfechten kann ( BGE 142 III 433 E. 4.3.2 ; 136 I 184 E. 2.2.1; je mit Hinweisen). Sofern sie geltend macht, der Einzelschiedsrichter habe nicht berücksichtigt, dass die Mandatsvereinbarungen einen Widerspruch beinhalten, kann der Beschwerdeführerin nicht gefolgt werden. Der Schiedsrichter hat die einschlägigen Klauseln der "Engagement Letters" ausgelegt und sich dabei zunächst mit deren Wortlaut auseinandergesetzt. Ausschlaggebend seien seines Erachtens aber auch andere Elemente, die er im Schiedsspruch ausführlich darlegte. Auch die Rüge der Beschwerdeführerin, ihre Vorbringen betreffend die Beteiligung der Beschwerdegegnerin an den Vergleichsverhandlungen seien nicht berücksichtigt worden, geht fehl. Der Schiedsrichter hat sich mit den Argumenten der Parteien auseinandergesetzt und ist zum Schluss gekommen, ein Interessenkonflikt liege nicht vor. Dabei stützte er sich auf andere Argumente bzw. Beweismittel. Entgegen der Auffassung der Beschwerdeführerin hat sie keinen Anspruch darauf, dass sich der Einzelschiedsrichter auf ihre einzelne Vorbringen ausdrücklich bezieht.</w:t>
      </w:r>
    </w:p>
    <w:p>
      <w:r>
        <w:rPr>
          <w:b/>
        </w:rPr>
        <w:t>E. 5</w:t>
      </w:r>
    </w:p>
    <w:p>
      <w:r>
        <w:t>Die Beschwerde ist abzuweisen, soweit darauf einzutreten ist. Bei diesem Ausgang des Verfahrens trägt die Beschwerdeführerin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