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4A_124/2026 vom 1. April 2026</w:t>
      </w:r>
    </w:p>
    <w:p>
      <w:r>
        <w:t>Bundesgericht, 2026-04-01, DE</w:t>
      </w:r>
    </w:p>
    <w:p>
      <w:r>
        <w:rPr>
          <w:b/>
        </w:rPr>
        <w:t xml:space="preserve">Quelle: </w:t>
      </w:r>
      <w:r>
        <w:t>https://mcp.opencaselaw.ch/entscheid/bger_4A_124_2026</w:t>
      </w:r>
    </w:p>
    <w:p>
      <w:r>
        <w:t>FR: TF 4A_124/2026 du 1 avril 2026</w:t>
      </w:r>
    </w:p>
    <w:p>
      <w:r>
        <w:t>IT: TF 4A_124/2026 del 1 aprile 2026</w:t>
      </w:r>
    </w:p>
    <w:p>
      <w:pPr>
        <w:pStyle w:val="Heading2"/>
      </w:pPr>
      <w:r>
        <w:t>Erwägungen</w:t>
      </w:r>
    </w:p>
    <w:p>
      <w:r>
        <w:rPr>
          <w:b/>
        </w:rPr>
        <w:t>E. 1</w:t>
      </w:r>
    </w:p>
    <w:p>
      <w:r>
        <w:t>Mit Urteil vom 19. Dezember 2025 verpflichtete das Sozialversicherungsgericht des Kantons Zürich die Beschwerdegegnerin in teilweiser Gutheissung der Klage des Beschwerdeführers, diesem Krankentaggeldleistungen im Betrag von Fr. 3'059.90 nebst Zins zu 5 % ab 3. April 2024 zu bezahlen, wobei es die Klage im Mehrbetrag abwies.</w:t>
      </w:r>
    </w:p>
    <w:p>
      <w:r>
        <w:t>Mit der Post am 9. März 2026 übergebener Eingabe erklärte der Beschwerdeführer dem Bundesgericht, das Urteil des Obergerichts des Kantons Zürich vom 19. Dezember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Anträge betreffend Geldforderungen müssen beziffert werden und auf eine Beschwerde ist nicht einzutreten, wenn das Bundesgericht den zuzusprechenden Geldbetrag nach dem gestellten Begehren selber festlegen müsste, wobei es genügt, wenn sich aus der Beschwerdebegründung, allenfalls in Verbindung mit dem angefochtenen Entscheid, ohne weiteres klar ergibt, welchen Geldbetrag die beschwerdeführende Partei beantragt ( BGE 143 III 111 E. 1.2; 134 III 235 E. 2 mit Hinweis). Allerdings besteht keine Vermutung dafür, dass eine beschwerdeführende Partei, die ihre Anträge in der Beschwerde nicht präzisiert, diejenigen übernehmen will, die sie vor der Vorinstanz gestellt hat (Urteile 4D_55/2023 vom 13. Dezember 2023 E. 2.2; 4A_358/2022 vom 4. Oktober 2022 E. 2.1; 4A_288/2019 vom 11. September 2019 E. 1.2).</w:t>
      </w:r>
    </w:p>
    <w:p>
      <w:r>
        <w:rPr>
          <w:b/>
        </w:rPr>
        <w:t>E. 2.2</w:t>
      </w:r>
    </w:p>
    <w:p>
      <w:r>
        <w:t>Der Beschwerdeführer stellt keinen bezifferten Antrag. Im vorliegenden Fall wird aus der Beschwerdeeingabe in Verbindung mit dem angefochtenen Urteil nicht klar, welche Entscheidung durch das Bundesgericht der Beschwerdeführer beantragt.</w:t>
      </w:r>
    </w:p>
    <w:p>
      <w:r>
        <w:t>Die Beschwerde erweist sich demnach als offensichtlich unzulässig ( Art. 108 Abs. 1 lit. a BGG ).</w:t>
      </w:r>
    </w:p>
    <w:p>
      <w:r>
        <w:rPr>
          <w:b/>
        </w:rPr>
        <w:t>E. 3</w:t>
      </w:r>
    </w:p>
    <w:p>
      <w:r>
        <w:t>Die Eingabe des Beschwerdeführers erfüllt zudem die Begründungsanforderungen, die an eine Beschwerde an das Bundesgericht gestellt werden, offensichtlich nicht ( Art. 42 Abs. 2 und Art. 106 Abs. 2 BGG ; BGE 142 III 364 E. 2.4; 140 III 86 E. 2, 115 E. 2).</w:t>
      </w:r>
    </w:p>
    <w:p>
      <w:r>
        <w:t>Auf die Beschwerde ist somit auch mangels hinreichender Begründung nicht einzutreten ( Art. 108 Abs. 1 lit. b BGG ).</w:t>
      </w:r>
    </w:p>
    <w:p>
      <w:r>
        <w:rPr>
          <w:b/>
        </w:rPr>
        <w:t>E. 4</w:t>
      </w:r>
    </w:p>
    <w:p>
      <w:r>
        <w:t>Der Beschwerdeführer wird bei diesem Verfahrensausgang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