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4A_123/2026 vom 21. April 2026</w:t>
      </w:r>
    </w:p>
    <w:p>
      <w:r>
        <w:t>Bundesgericht, 2026-04-21, DE</w:t>
      </w:r>
    </w:p>
    <w:p>
      <w:r>
        <w:rPr>
          <w:b/>
        </w:rPr>
        <w:t xml:space="preserve">Quelle: </w:t>
      </w:r>
      <w:r>
        <w:t>https://mcp.opencaselaw.ch/entscheid/bger_4A_123_2026</w:t>
      </w:r>
    </w:p>
    <w:p>
      <w:r>
        <w:t>FR: TF 4A_123/2026 du 21 avril 2026</w:t>
      </w:r>
    </w:p>
    <w:p>
      <w:r>
        <w:t>IT: TF 4A_123/2026 del 21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2. März 2026 trat das Obergericht des Kantons Graubünden auf eine vom Beschwerdeführer gegen die Beschwerdegegner erhobene Klage nicht ein.</w:t>
      </w:r>
    </w:p>
    <w:p>
      <w:r>
        <w:t>Mit Eingabe vom 6. März 2026 erklärte der Beschwerdeführer dem Bundesgericht, den Entscheid des Obergerichts des Kantons Graubünden vom 2. März 2026 mit Beschwerde anfechten zu wollen.</w:t>
      </w:r>
    </w:p>
    <w:p>
      <w:r>
        <w:t>Am 12. März, 2. April und 4. April 2026 reichte der Beschwerdeführer dem Bundesgericht weitere Eingaben ein.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Eingaben des Beschwerdeführers erfüllen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im vereinfachten Verfahren nicht einzutreten ( Art. 108 Abs. 1 lit. b BGG ).</w:t>
      </w:r>
    </w:p>
    <w:p>
      <w:r>
        <w:rPr>
          <w:b/>
        </w:rPr>
        <w:t>E. 3</w:t>
      </w:r>
    </w:p>
    <w:p>
      <w:r>
        <w:t>Das Gesuch des Beschwerdeführers um Gewährung der unentgeltlichen Rechtspflege für das bundesgerichtliche Verfahren ist abzuweisen, weil die Beschwerde als von vornherein aussichtslos erschien ( Art. 64 Abs. 1 BGG ).</w:t>
      </w:r>
    </w:p>
    <w:p>
      <w:r>
        <w:t>Der Beschwerdeführer wird bei diesem Verfahrensausgang kostenpflichtig ( Art. 66 Abs. 1 BGG ). Den Beschwerdegegnern sind keine Parteientschädigungen zuzusprechen ( Art. 68 Abs. 2 und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