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4A_123/2007 vom 31. August 2007</w:t>
      </w:r>
    </w:p>
    <w:p>
      <w:r>
        <w:t>Bundesgericht, 2007-08-31, FR</w:t>
      </w:r>
    </w:p>
    <w:p>
      <w:r>
        <w:rPr>
          <w:b/>
        </w:rPr>
        <w:t xml:space="preserve">Quelle: </w:t>
      </w:r>
      <w:r>
        <w:t>https://mcp.opencaselaw.ch/entscheid/bger_4A_123_2007</w:t>
      </w:r>
    </w:p>
    <w:p>
      <w:r>
        <w:t>FR: TF 4A_123/2007 du 31 août 2007</w:t>
      </w:r>
    </w:p>
    <w:p>
      <w:r>
        <w:t>IT: TF 4A_123/2007 del 31 agosto 2007</w:t>
      </w:r>
    </w:p>
    <w:p>
      <w:pPr>
        <w:pStyle w:val="Heading2"/>
      </w:pPr>
      <w:r>
        <w:t>Erwägungen</w:t>
      </w:r>
    </w:p>
    <w:p>
      <w:r>
        <w:rPr>
          <w:b/>
        </w:rPr>
        <w:t>E. 1</w:t>
      </w:r>
    </w:p>
    <w:p>
      <w:r>
        <w:t>Chacune des deux parties a interjeté recours. Les recours sont dirigés contre le même arrêt et reposent sur le même complexe de faits. Par conséquent, il se justifie de joindre les deux procédures et de statuer par un seul arrêt ( art. 24 PCF , applicable vu le renvoi de l' art. 71 LTF ; cf. ATF 124 III 382 consid. 1a p. 385; 123 II 16 consid. 1 p. 20).</w:t>
      </w:r>
    </w:p>
    <w:p>
      <w:r>
        <w:rPr>
          <w:b/>
        </w:rPr>
        <w:t>E. 2.1</w:t>
      </w:r>
    </w:p>
    <w:p>
      <w:r>
        <w:t>Interjetés par les parties dont aucune n'a obtenu entièrement gain de cause ( art. 76 al. 1 LTF ) et dirigés contre un jugement final ( art. 90 LTF ) rendu en matière civile ( art. 72 al. 1 LTF ) par une autorité cantonale de dernière instance ( art. 75 LTF ) dans une affaire pécuniaire de droit du travail dont la valeur litigieuse atteint le seuil de 15'000 fr. ( art. 74 al. 1 let. a LTF ), les recours sont en principe recevables, puisqu'ils ont été tous deux déposés dans le délai ( art. 100 al. 1 LTF ) et la forme ( art. 42 LTF ) prévus par la loi.</w:t>
      </w:r>
    </w:p>
    <w:p>
      <w:r>
        <w:rPr>
          <w:b/>
        </w:rPr>
        <w:t>E. 2.2</w:t>
      </w:r>
    </w:p>
    <w:p>
      <w:r>
        <w:t>Le recours peut être interjeté pour violation du droit, tel qu'il est délimité par les art. 95 et 96 LTF .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2.3</w:t>
      </w:r>
    </w:p>
    <w:p>
      <w:r>
        <w:t>Le Tribunal fédéral ne peut aller au-delà des conclusions des parties ( art. 107 al. 1 LTF ). Toute conclusion nouvelle est irrecevable ( art. 99 al. 2 LTF ).</w:t>
      </w:r>
    </w:p>
    <w:p>
      <w:r>
        <w:rPr>
          <w:b/>
        </w:rPr>
        <w:t>E. 3</w:t>
      </w:r>
    </w:p>
    <w:p>
      <w:r>
        <w:t>En premier lieu, la demanderesse entend faire compléter l'état de fait sur deux points, qui ressortiraient clairement du dossier soumis à l'autorité cantonale: d'une part, le fait que, de manière officielle et régulière, la collaboratrice ne travaillait pas à l'étude les mardis et vendredis après-midi; d'autre part, le motif de la première augmentation de salaire du 1er mars 2003, qui aurait eu pour but de rétablir l'équilibre salarial des employées de l'étude en fonction de leur formation respective.</w:t>
      </w:r>
    </w:p>
    <w:p>
      <w:r>
        <w:rPr>
          <w:b/>
        </w:rPr>
        <w:t>E. 3.1</w:t>
      </w:r>
    </w:p>
    <w:p>
      <w:r>
        <w:t>Le Tribunal fédéral conduit son raisonnement juridique sur la base des faits établis par l'autorité précédente ( art. 105 al. 1 LTF ). L'auteur du recours ne peut critiquer les faits que si ceux-ci ont été établis de façon manifestement inexacte ou en violation du droit au sens de l' art. 95 LTF ( art. 97 al. 1 LTF ; cf. également art. 105 al. 2 LTF ); de plus, la correction du vice doit être propre à influer le sort de la cause ( art. 97 al. 1 LTF ).</w:t>
      </w:r>
    </w:p>
    <w:p>
      <w:r>
        <w:t>La partie recourante qui entend s'écarter des constatations de l'autorité précédente doit expliquer de manière circonstanciée en quoi les conditions d'une exception à l' art. 105 al. 1 LTF seraient réalisées, faute de quoi il n'est pas possible de tenir compte d'un état de fait qui diverge de celui contenu dans la décision attaquée (cf. ATF 130 III 138 consid. 1.4 p. 140; cf. également ATF 133 III 350 consid. 1.3). Aucun fait nouveau ni preuve nouvelle ne peut être présenté à moins de résulter de la décision de l'autorité précédente ( art. 99 al. 1 LTF ).</w:t>
      </w:r>
    </w:p>
    <w:p>
      <w:r>
        <w:rPr>
          <w:b/>
        </w:rPr>
        <w:t>E. 3.2</w:t>
      </w:r>
    </w:p>
    <w:p>
      <w:r>
        <w:t>Contrairement à ce que la demanderesse prétend, il ressort bien de l'arrêt attaqué que la collaboratrice n'était pas présente à l'étude deux après-midi par semaine; ce fait, mentionné à quatre reprises dans le considérant 3.3 de la décision entreprise, n'est pas contesté. Le grief soulevé par la demanderesse tombe dès lors à faux. Au surplus, les motifs ayant conduit les parties à instaurer ce système seront examinés dans le considérant consacré à l'interprétation de l'accord passé entre l'avocat et son employée.</w:t>
      </w:r>
    </w:p>
    <w:p>
      <w:r>
        <w:t>Sur le second point, la cour cantonale a constaté que le salaire de la demanderesse avait été augmenté à partir du 1er mars 2003, soit le mois précédant la modification contractuelle liée à l'activité accessoire de l'avocate. Du bref laps de temps écoulé entre les deux événements, les juges genevois ont déduit que le défendeur ne pouvait pas avoir accordé en avril 2003 une deuxième faveur à sa collaboratrice, sous forme d'une réduction de son temps de travail à 80 % avec un salaire maintenu à 100 %, indépendamment des heures consacrées par la demanderesse à l'activité prud'homale. Le fait déterminant est l'augmentation de salaire de mars 2003 en elle-même. Les raisons pour lesquelles le défendeur a consenti à la hausse de la rémunération de la demanderesse sont dénuées de pertinence à cet égard et ne sauraient être propres à influer le sort de la cause au sens de l' art. 97 al. 1 LTF . Par conséquent, le moyen tiré d'un état de fait lacunaire est mal fondé.</w:t>
      </w:r>
    </w:p>
    <w:p>
      <w:r>
        <w:rPr>
          <w:b/>
        </w:rPr>
        <w:t>E. 4</w:t>
      </w:r>
    </w:p>
    <w:p>
      <w:r>
        <w:t>La cour cantonale a admis le caractère justifié du licenciement immédiat signifié par l'avocat à sa collaboratrice. En substance, elle a considéré que la demanderesse avait manqué gravement à ses obligations de diligence, de fidélité et de loyauté à l'égard de son employeur en consacrant à son activité prud'homale beaucoup moins d'heures que ce qu'elle laissait entendre à son employeur, en refusant de donner suite à l'avertissement du 1er février 2005 qui l'enjoignait à travailler à 100 %, et non à 80 %, et en ne donnant pas suite à la demande de l'avocat de remettre les documents qui prouvaient l'ampleur exacte de son activité auprès de la juridiction des prud'hommes. Avant d'arriver à cette conclusion, les juges genevois ont interprété l'accord des parties intervenu verbalement en avril 2003. Appliquant le principe de la confiance, ils ont considéré que la diminution de 20 % des heures consacrées directement à l'étude - représentant deux après-midi par semaine - avec maintien du salaire à 100 % supposait que la demanderesse utilisât tout le temps ainsi dégagé pour ses activités en relation avec les prud'hommes; l'autorisation d'exercer une activité accessoire sur son horaire à temps plein ne permettait pas à l'employée de croire de bonne foi qu'elle pouvait travailler à 80 % pour l'étude, indépendamment des heures consacrées à son activité prud'homale.</w:t>
      </w:r>
    </w:p>
    <w:p>
      <w:r>
        <w:rPr>
          <w:b/>
        </w:rPr>
        <w:t>E. 4.1</w:t>
      </w:r>
    </w:p>
    <w:p>
      <w:r>
        <w:t>Invoquant l' art. 18 CO , la demanderesse critique l'interprétation objective retenue par les juges cantonaux. A son avis, l'absence de réaction de l'employeur de mai 2003 à janvier 2005, soit pendant un an et demi, démontre que l'avocat a accordé à la collaboratrice la réduction du temps de travail à 80 % qu'elle demandait pour exercer une activité de greffière auxiliaire auprès des prud'hommes et que l'arrangement financier a consisté à maintenir la rémunération de l'employée à 100 % contre restitution du salaire perçu pour l'activité prud'homale.</w:t>
      </w:r>
    </w:p>
    <w:p>
      <w:r>
        <w:rPr>
          <w:b/>
        </w:rPr>
        <w:t>E. 4.2</w:t>
      </w:r>
    </w:p>
    <w:p>
      <w:r>
        <w:t>Il n'est pas contesté que l'autorité cantonale n'a pas été en mesure de constater en fait l'accord des parties, sur la base d'une interprétation dite subjective (cf. ATF 132 III 626 consid. 3.1; 131 III 606 consid. 4.1).</w:t>
      </w:r>
    </w:p>
    <w:p>
      <w:r>
        <w:t>Si la volonté réelle des parties ne peut pas être établie ou si leurs volontés intimes divergent, le juge doit interpréter les déclarations et les comportements selon la théorie de la confiance. Il doit donc rechercher comment une déclaration ou une attitude pouvait être comprise de bonne foi en fonction de l'ensemble des circonstances (interprétation dite objective; ATF 133 III 61 consid. 2.2.2 p. 67; 132 III 268 consid. 2.3.2, 626 consid. 3.1). Le principe de la confiance permet d'imputer à une partie le sens objectif de sa déclaration ou de son comportement, même si celui-ci ne correspond pas à sa volonté intime ( ATF 133 III 61 consid. 2.2.1 p. 67; 130 III 417 consid. 3.2; 129 III 118 consid. 2.5; 128 III 419 consid. 2.2 et les références doctrinales).</w:t>
      </w:r>
    </w:p>
    <w:p>
      <w:r>
        <w:t>L'application du principe de la confiance est une question de droit que le Tribunal fédéral peut examiner librement (cf. ATF 132 III 268 consid. 2.3.2, 626 consid. 3.1; 131 III 606 consid. 4.1). Pour trancher cette question de droit, il faut cependant se fonder sur le contenu de la manifestation de volonté et sur les circonstances, lesquelles relèvent en revanche du fait ( ATF 132 III 268 consid. 2.3.2, 626 consid. 3.1; 131 III 586 consid. 4.2.3.1). Les circonstances déterminantes à cet égard sont celles qui ont précédé ou accompagné la manifestation de volonté, à l'exclusion des événements postérieurs, à l'exemple du comportement adopté par les parties contractantes après qu'elles ont conclu l'accord ( ATF 133 III 61 consid. 2.2.1 p. 67; 132 III 626 consid. 3.1 in fine et les arrêts cités).</w:t>
      </w:r>
    </w:p>
    <w:p>
      <w:r>
        <w:rPr>
          <w:b/>
        </w:rPr>
        <w:t>E. 4.3</w:t>
      </w:r>
    </w:p>
    <w:p>
      <w:r>
        <w:t>En avril 2003, le défendeur a accepté que la demanderesse exerce une activité accessoire de greffière auxiliaire auprès de la juridiction des prud'hommes. L'idée était que la collaboratrice acquiert des connaissances en droit du travail, qu'elle pourrait utiliser ensuite dans le cadre de son activité à l'étude. Sur le plan financier, l'arrangement impliquait que la demanderesse continuait d'être payée à 100 % par le défendeur, mais qu'elle rétrocédait à celui-ci la rémunération perçue des prud'hommes. En ce qui concerne l'organisation du travail, les parties s'accordent à dire que le temps consacré à l'étude était diminué de 20 %, ce qui s'est concrétisé, à une date qui ne ressort pas clairement de l'arrêt attaqué, par deux après-midi par semaine durant lesquels l'avocate n'était pas présente au cabinet. Le litige porte notamment sur le sens de cette réduction. Pour l'employeur, les 20 % ainsi dégagés devaient être utilisés pour l'activité prud'homale alors que, selon l'employée, son temps de travail a été purement et simplement réduit à 80 %, sans qu'elle ait à rendre compte de ses occupations pendant les 20 % restants.</w:t>
      </w:r>
    </w:p>
    <w:p>
      <w:r>
        <w:t>La thèse de la demanderesse ne résiste pas à l'examen. De bonne foi, l'avocate ne pouvait pas déduire de l'attitude de son employeur qu'il n'existait aucune proportion entre la réduction du temps de présence exigé à l'étude et les heures consacrées à l'activité prud'homale (préparation des audiences, audiences, rédaction des jugements). Le but visé, soit l'acquisition de connaissances utiles à l'étude, supposait évidemment que le temps libéré soit employé à cette fin, et non selon le bon vouloir de la collaboratrice. Le défendeur n'avait aucune raison d'accepter de continuer à payer à 100 % la demanderesse, moyennant rétrocession d'un montant qu'elle estimait alors elle-même à 10 % maximum de son salaire d'avocate, si celle-ci ne consacrait pas à l'activité accessoire prévue les 20 % de temps où sa présence à l'étude n'était pas exigée. Le fait invoqué par la demanderesse n'est pas de nature à infirmer cette analyse fondée sur le principe de la confiance. En effet, le comportement du défendeur postérieurement à la conclusion de l'accord n'est pas déterminant pour interpréter objectivement le contenu des engagements contractuels au moment où ils ont été passés. Au surplus, aucun élément de l'arrêt attaqué ne permet de conclure que l'arrangement des parties aurait été modifié par la suite. Comme la cour cantonale l'a admis à juste titre, la demanderesse était censée, aux termes de la modification contractuelle d'avril 2003 interprétée à la lumière de la théorie de la confiance, consacrer à son activité accessoire un temps équivalant à celui libéré sur ses heures de présence à l'étude, soit 20 %. Il s'ensuit que le moyen fondé sur la violation de l' art. 18 CO est mal fondé.</w:t>
      </w:r>
    </w:p>
    <w:p>
      <w:r>
        <w:rPr>
          <w:b/>
        </w:rPr>
        <w:t>E. 5</w:t>
      </w:r>
    </w:p>
    <w:p>
      <w:r>
        <w:t>La demanderesse conteste au surplus que le défendeur ait été au bénéfice d'un juste motif de licenciement immédiat. Selon elle, le motif qui a déterminé l'employeur à résilier le contrat sur-le-champ est la non-remise par l'employée des décomptes de son activité auprès du Tribunal des prud'hommes. La demanderesse nie avoir refusé de donner ces documents. Alors en congé-maladie, elle a simplement fait savoir au défendeur qu'elle ne disposait plus de ses fiches d'activité, remises au fur et à mesure à la juridiction des prud'hommes. Un tel comportement ne constituerait manifestement pas un manquement grave justifiant un licenciement immédiat.</w:t>
      </w:r>
    </w:p>
    <w:p>
      <w:r>
        <w:t>Pour le reste, la demanderesse fait valoir que les autres motifs retenus par la cour cantonale n'ont pas été déterminants dans la volonté de l'employeur de se séparer immédiatement de sa collaboratrice. Aucun n'aurait d'ailleurs constitué un juste motif au sens de l' art. 337 CO .</w:t>
      </w:r>
    </w:p>
    <w:p>
      <w:r>
        <w:rPr>
          <w:b/>
        </w:rPr>
        <w:t>E. 5.1</w:t>
      </w:r>
    </w:p>
    <w:p>
      <w:r>
        <w:t>Aux termes de l' art. 337 al. 1 1 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 art. 337 al. 2 CO ).</w:t>
      </w:r>
    </w:p>
    <w:p>
      <w:r>
        <w:t>Mesure exceptionnelle, la résiliation immédiate pour justes motifs doit être admise de manière restrictive ( ATF 130 III 28 consid. 4.1 p. 31; 127 III 351 consid. 4a et les références).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 ATF 130 III 28 consid. 4.1 p. 31, 213 consid. 3.1 p. 220/221; 129 III 380 consid. 2.1).</w:t>
      </w:r>
    </w:p>
    <w:p>
      <w:r>
        <w:t>Le juge apprécie librement s'il existe de justes motifs ( art. 337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 ATF 130 III 28 consid. 4.1 p. 32; 127 III 351 consid. 4a p. 354; 116 II 145 consid. 6a p. 150). Le Tribunal fédéral revoit 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130 III 28 consid. 4.1 p. 32, 213 consid. 3.1 p. 220; 129 III 380 consid. 2 p. 382; 127 III 153 consid. 1a p. 155, 351 consid. 4a p. 354).</w:t>
      </w:r>
    </w:p>
    <w:p>
      <w:r>
        <w:rPr>
          <w:b/>
        </w:rPr>
        <w:t>E. 5.2</w:t>
      </w:r>
    </w:p>
    <w:p>
      <w:r>
        <w:t>La lettre de licenciement du 22 février 2005 fait clairement état d'une rupture du lien de confiance, fondée sur plusieurs motifs. En particulier, l'employeur reproche une «tricherie» à sa collaboratrice pour avoir fait croire qu'elle consacrait ses deux après-midi de «congé» par semaine à son activité prud'homale, alors qu'elle les utilisait en réalité pour se reposer ou pour ses hobbies. A la fin de son courrier, l'avocat réclame une nouvelle fois à son employée la liste détaillée des audiences des prud'hommes auxquelles elle a participé ainsi qu'un relevé du temps consacré à la rédaction des jugements.</w:t>
      </w:r>
    </w:p>
    <w:p>
      <w:r>
        <w:t>Avant d'examiner, au besoin, les autres motifs de congé invoqués pêle-mêle par le défendeur, il convient de déterminer si la «tricherie» susmentionnée est avérée selon l'état de fait cantonal et, le cas échéant, si elle justifiait un licenciement immédiat.</w:t>
      </w:r>
    </w:p>
    <w:p>
      <w:r>
        <w:t>D'après les constatations de la Cour d'appel résultant des enquêtes, la demanderesse a consacré environ deux heures par semaine à son activité prud'homale. Or, comme on l'a déjà vu, elle était censée, selon l'accord passé oralement entre les parties, utiliser 20 % de son temps de travail à cette fin, soit huit heures par semaine. La différence est très importante; comme l'avocate n'a jamais avisé son employeur de ce fait, il y a bel et bien eu tromperie de sa part. Le défendeur a commencé à éprouver de sérieux doutes à ce sujet au début 2005, mais il ne disposait alors pas de preuves. Le 1er février 2005, il a adressé à sa collaboratrice un courriel intitulé «avertissement», l'invitant à être présente à l'étude à 100 % dès la semaine suivante. Deux jours plus tard, il lui a demandé, dans un autre courriel, un compte-rendu précis des activités exercées pour la juridiction des prud'hommes. La demanderesse n'a pas fourni le document réclamé; dans sa réponse du 3 février 2005, elle n'a pas donné suite à l'avertissement de son employeur et a continué à prétendre, en substance, que son temps de travail avait été réduit à 80 %, indépendamment des heures consacrées à son activité accessoire. Le 16 février 2005, le défendeur a encore une fois demandé à sa collaboratrice de fournir la liste de ses activités en rapport avec les prud'hommes. La demanderesse n'a pas obtempéré. Dans son courrier du 21 février 2005, elle indiquait à son employeur n'être pas en mesure de fournir une liste du travail effectué à titre accessoire depuis une année et demie, car elle ne disposait plus des fiches d'activité remises à la juridiction des prud'hommes; elle affirmait également avoir toujours fourni à son employeur les relevés de salaire et décomptes annuels reçus de l'Etat. Sur ces deux points, il ressort de l'état de fait cantonal, premièrement, que, si elle les avait demandés, l'avocate aurait obtenu immédiatement les documents relatifs à son activité accessoire auprès de la juridiction des prud'hommes. A cet égard, les critiques que la demanderesse adresse à cette constatation dans son recours ne sont pas de nature à la faire apparaître comme arbitraire. Deuxièmement, la collaboratrice avait elle-même indiqué plusieurs fois à son employeur que les décomptes de salaire ne reflétaient pas l'activité des mois écoulés, dès lors que la rémunération n'intervenait qu'à la fin de chaque affaire. Il s'ensuit que ces décomptes n'étaient pas suffisants pour permettre à l'employeur de se faire une idée exacte du temps réellement consacré par son employée à son activité accessoire.</w:t>
      </w:r>
    </w:p>
    <w:p>
      <w:r>
        <w:t>En résumé, la demanderesse a trompé, sur son horaire de travail, un employeur dont elle savait qu'il lui faisait aveuglément confiance. L'ampleur de cette tromperie n'est apparue qu'au cours de la procédure, les enquêtes ayant démontré que l'employée n'utilisait à la fin prévue que le quart du temps censé attribué à l'activité prud'homale et qu'elle considérait le reste du temps en cause comme du temps libre alors qu'elle était payée à 100 % par l'étude. Lorsque le défendeur a éprouvé les premiers doutes, qui s'avéreront justifiés, et qu'il a invité sa collaboratrice à remédier à cette situation, la demanderesse a nié le problème; elle n'a ainsi fait preuve d'aucune volonté de respecter l'accord passé en avril 2003. De plus, bien que sollicitée deux fois de fournir les documents prouvant son activité réelle auprès des prud'hommes, elle n'a tout d'abord pas réagi, avant de prétendre faussement qu'il ne lui était plus possible de disposer de ces pièces.</w:t>
      </w:r>
    </w:p>
    <w:p>
      <w:r>
        <w:t>La tromperie à laquelle la demanderesse s'est livrée pendant de nombreux mois révèle un manque de loyauté indéniable à l'égard de l'employeur. De surcroît, l'employée a adopté, après l'avertissement du 1er février 2005, un comportement qui ne pouvait que conforter le défendeur dans sa confiance déçue. Force est ainsi de constater que les manquements de la demanderesse en relation avec son activité accessoire, son refus de respecter l'accord d'avril 2003 et son absence de collaboration dans la reconstitution de son activité prud'homale étaient assurément de nature à rompre le rapport de confiance qui existait entre les parties. Le licenciement immédiat est déjà justifié pour ce motif-là, de sorte qu'il n'est pas nécessaire d'examiner les autres motifs invoqués dans la lettre du 22 février 2005.</w:t>
      </w:r>
    </w:p>
    <w:p>
      <w:r>
        <w:t>Sur le vu de ce qui précède, le moyen tiré d'une violation de l' art. 337 CO doit être écarté.</w:t>
      </w:r>
    </w:p>
    <w:p>
      <w:r>
        <w:rPr>
          <w:b/>
        </w:rPr>
        <w:t>E. 6</w:t>
      </w:r>
    </w:p>
    <w:p>
      <w:r>
        <w:t>La cour cantonale a attribué à la demanderesse une indemnité de 3'947 fr.20 à titre d'indemnité pour un solde de vacances de neuf jours au 21 février 2005.</w:t>
      </w:r>
    </w:p>
    <w:p>
      <w:r>
        <w:rPr>
          <w:b/>
        </w:rPr>
        <w:t>E. 6.1</w:t>
      </w:r>
    </w:p>
    <w:p>
      <w:r>
        <w:t>Dans son recours, le défendeur fait valoir tout d'abord que l'indemnité allouée ne repose sur aucun élément du dossier, mais uniquement sur un allégué de la demanderesse, contesté par la partie adverse. La cour cantonale serait tombée ainsi dans l'arbitraire. Au demeurant, l'arbitraire résulterait aussi du fait que la demanderesse se voit octroyer une indemnité relative à neuf jours de vacances, alors qu'il est établi qu'elle s'est accordé, sur son horaire de travail, du temps libre à raison de plusieurs heures par semaine pendant une année et demie.</w:t>
      </w:r>
    </w:p>
    <w:p>
      <w:r>
        <w:rPr>
          <w:b/>
        </w:rPr>
        <w:t>E. 6.2</w:t>
      </w:r>
    </w:p>
    <w:p>
      <w:r>
        <w:t>Selon la jurisprudence, il appartient au travailleur de prouver l'obligation contractuelle de l'employeur de lui accorder des vacances. En revanche, l'employeur doit prouver que cette obligation contractuelle a été exécutée; il lui incombe donc de démontrer que le travailleur a pris des jours de vacances pendant la période déterminante et d'établir leur nombre ( ATF 128 III 271 consid. 2a p. 273/274).</w:t>
      </w:r>
    </w:p>
    <w:p>
      <w:r>
        <w:t>Par ailleurs, lorsque les rapports de travail ont pris fin par la résiliation immédiate du contrat pour justes motifs, le droit aux vacances non prises est toujours convertible en une prétention pécuniaire (cf. Brunner/Bühler/Waeber/Bruchez, Commentaire du contrat de travail, 3e éd., p. 174).</w:t>
      </w:r>
    </w:p>
    <w:p>
      <w:r>
        <w:t>En l'espèce, selon les constatations cantonales, l'employée avait droit à 25 jours de vacances par année depuis août 2003. La cour cantonale relève toutefois que la demanderesse, qui réclame l'indemnisation de neuf jours de vacances jusqu'au 21 février 2005, a calculé son droit aux vacances sur la base de quatre semaines par an, conformément à la version d'origine du contrat. Les juges genevois considèrent ensuite qu'il n'a pas été établi que la collaboratrice n'avait pas droit à un solde de neuf jours au 21 février 2005, ni qu'elle avait pris plus de jours de vacances que ceux auxquels elle pouvait prétendre. Cela signifie que l'employeur n'a apporté aucune preuve quant au nombre de jours de vacances déjà pris par la demanderesse pendant la période déterminante. Dans son recours, le défendeur se borne à affirmer qu'il a contesté le calcul de la demanderesse, mais il ne prétend pas avoir démontré de combien de jours de vacances l'employée avait déjà bénéficié au moment où les rapports de travail ont pris fin. La cour cantonale n'a dès lors pas renversé le fardeau de la preuve, ni du reste versé dans l'arbitraire, en allouant à la demanderesse le montant qu'elle réclamait. Les critiques soulevées par le défendeur sont dénuées de fondement.</w:t>
      </w:r>
    </w:p>
    <w:p>
      <w:r>
        <w:t>Au surplus, le fait que la demanderesse a utilisé à sa guise une partie de son temps de travail ne saurait être assimilé à des vacances, mais bien plutôt à l'inexécution de l'obligation contractuelle de fournir la prestation de travail. Le défendeur partage d'ailleurs cette analyse puisque, parallèlement, il exerce contre la demanderesse une action en dommages-intérêts fondée sur la responsabilité contractuelle de la travailleuse ( art. 321e CO ).</w:t>
      </w:r>
    </w:p>
    <w:p>
      <w:r>
        <w:rPr>
          <w:b/>
        </w:rPr>
        <w:t>E. 7</w:t>
      </w:r>
    </w:p>
    <w:p>
      <w:r>
        <w:t>La cour cantonale a alloué à la demanderesse une indemnité pour tort moral d'un montant de 5'000 fr. Elle a considéré que les termes utilisés par le défendeur, dans ses courriers des 16 et 22 février 2005, dépeignaient l'avocate comme une personne foncièrement malhonnête et que ces propos, inutilement outrageants et blessants, avaient entamé la considération de l'intéressée. Par conséquent, celle-ci pouvait à juste titre se plaindre d'une atteinte illicite à sa personnalité au sens de l' art. 328 CO .</w:t>
      </w:r>
    </w:p>
    <w:p>
      <w:r>
        <w:t>Le défendeur critique l'allocation d'une indemnité à titre de réparation morale à la demanderesse. Il relève à cet égard que les termes utilisés dans les deux courriers en cause n'ont rien d'exceptionnel. Par ailleurs, la cour cantonale aurait tiré des conclusions arbitraires du témoignage du Dr B.________.</w:t>
      </w:r>
    </w:p>
    <w:p>
      <w:r>
        <w:rPr>
          <w:b/>
        </w:rPr>
        <w:t>E. 7.1</w:t>
      </w:r>
    </w:p>
    <w:p>
      <w:r>
        <w:t>Selon l' art. 328 al. 1 CO , l'employeur protège et respecte, dans les rapports de travail, la personnalité du travailleur. La violation des obligations prévues à cette disposition engage la responsabilité contractuelle de l'employeur ( art. 97 ss CO ) pour le tort moral causé au travailleur, aux conditions fixées par l' art. 49 al. 1 CO (cf. art. 99 al. 3 CO ) ( ATF 130 III 699 consid. 5.1 p. 704; cf. également ATF 125 III 70 consid. 3a p. 74). Pour justifier l'allocation d'une indemnité pour tort moral fondée sur l' art. 49 al. 1 CO , il ne suffit pas que le tribunal constate une violation de l' art. 328 CO ; encore faut-il que l'atteinte ait une certaine gravité objective et qu'elle ait été ressentie par la victime, subjectivement, comme une souffrance morale suffisamment forte pour qu'il apparaisse légitime qu'une personne, dans ces circonstances, s'adresse au juge pour obtenir réparation (arrêt 4A_128/2007 du 9 juillet 2007, consid. 2.3; cf. ATF 130 III 699 consid. 5.1 p. 704; 125 III 70 consid. 3a p. 74/75).</w:t>
      </w:r>
    </w:p>
    <w:p>
      <w:r>
        <w:rPr>
          <w:b/>
        </w:rPr>
        <w:t>E. 7.2</w:t>
      </w:r>
    </w:p>
    <w:p>
      <w:r>
        <w:t>Dans sa lettre du 16 février 2005, le défendeur accuse la demanderesse d'avoir menti dans son courrier du 3 février 2005. Le reproche n'est pas dénué de fondement. Comme on l'a vu, le contenu de l'accord passé en avril 2003 ne pouvait être, selon le principe de la confiance, celui décrit par l'employée dans la lettre précitée. De plus, dans le courrier en question posté en fin de journée, la collaboratrice prétend ne pouvoir être à l'étude le mardi suivant à cause de son activité pour les prud'hommes; or, à ce moment-là, elle est déjà en possession d'un certificat médical la déclarant incapable de travailler jusqu'au 20 février 2005. Dans ces conditions, force est de reconnaître que l'accusation de mensonges, même formulée sans ménagement, ne pouvait manifestement constituer une atteinte revêtant une certaine gravité objective au sens où la jurisprudence l'entend.</w:t>
      </w:r>
    </w:p>
    <w:p>
      <w:r>
        <w:t>Quant à la lettre de licenciement du 22 février 2005, elle fait état de «mensonge», «menaces», «insultes» et «tricherie». Le défendeur accuse au surplus la demanderesse de se faire délivrer des certificats médicaux de complaisance et déclare ne plus avoir confiance en la moralité de sa collaboratrice, «celle de l'employée et encore moins celle de l'avocate». Objectivement, les termes utilisés sont vifs, traduisant une déception à la mesure de la confiance que l'avocat avait placée en son employée. Subjectivement, on ne saurait admettre que, dans le contexte de l'espèce, les reproches formulés par le défendeur aient atteint la demanderesse au point de la faire souffrir dans une mesure nécessitant le recours au juge. La référence au témoignage du Dr B.________ n'apparaît pas pertinente à cet égard. En effet, le médecin constate un grand stress chez la patiente en date du 3 février 2005, soit bien avant la réception du courrier litigieux; en revanche, il relève une amélioration de l'état de la demanderesse le 22 février 2005. Or, de deux choses l'une: soit la collaboratrice a déjà pris connaissance de la lettre de licenciement - envoyée notamment sous forme de télécopie - lors de sa visite chez le médecin et l'amélioration de son état contredit l'existence d'une atteinte grave à sa personnalité; soit elle ne connaît pas encore le contenu de cette lettre, auquel cas le témoignage du médecin n'est pas déterminant. Les propos du Dr B.________ permettaient certes à la cour cantonale de retenir que la patiente présentait un état de stress lié au conflit l'opposant à son employeur. En revanche, ils n'autorisaient pas les juges genevois à conclure que les excès de langage attribués au défendeur avaient engendré chez la demanderesse une souffrance morale assez forte pour justifier l'octroi d'une indemnité fondée sur l' art. 49 CO .</w:t>
      </w:r>
    </w:p>
    <w:p>
      <w:r>
        <w:t>Il s'ensuit que la critique élevée par le défendeur est fondée. Contrairement à ce que la cour cantonale a admis, il n'y a pas lieu d'accorder à la demanderesse une indemnité en réparation du tort moral en raison des termes choisis par l'employeur dans ses courriers des 16 et 22 février 2005. L'arrêt attaqué sera réformé sur ce point.</w:t>
      </w:r>
    </w:p>
    <w:p>
      <w:r>
        <w:rPr>
          <w:b/>
        </w:rPr>
        <w:t>E. 8</w:t>
      </w:r>
    </w:p>
    <w:p>
      <w:r>
        <w:t>Devant la Cour d'appel, le défendeur a réduit sa prétention en dommages-intérêts contre la demanderesse à 29'767 fr.50, représentant le salaire versé pendant les 14,7 semaines de travail indûment soustraites par la collaboratrice, selon son calcul. Les juges genevois ont nié que la responsabilité contractuelle de la demanderesse soit engagée au sens de l' art. 321e CO . D'après l'arrêt attaqué, le comportement du défendeur, qui n'a procédé à aucun contrôle sérieux de l'activité accessoire de la demanderesse pendant un an et demi, a interrompu le lien de causalité entre l'inexécution par l'employée de ses obligations contractuelles et le dommage qu'elle a pu causer à l'employeur.</w:t>
      </w:r>
    </w:p>
    <w:p>
      <w:r>
        <w:rPr>
          <w:b/>
        </w:rPr>
        <w:t>E. 8.1</w:t>
      </w:r>
    </w:p>
    <w:p>
      <w:r>
        <w:t>Selon l' art. 321e al. 1 CO , le travailleur répond du dommage qu'il cause à l'employeur intentionnellement ou par négligence. Comme toute responsabilité contractuelle, la responsabilité du travailleur suppose la réalisation de quatre conditions: un dommage, la violation d'une obligation contractuelle, un rapport de causalité adéquate entre ladite violation et le dommage ainsi qu'une faute intentionnelle ou par négligence. Sur ce dernier point, l' art. 321e al. 2 CO détermine la mesure de la diligence attendue de la part du travailleur: il convient de tenir compte du risque professionnel, de l'instruction ou des connaissances techniques nécessaires pour accomplir le travail promis, ainsi que des aptitudes et qualités du travailleur que l'employeur connaissait ou aurait dû connaître.</w:t>
      </w:r>
    </w:p>
    <w:p>
      <w:r>
        <w:t>La faute ou le fait propre du lésé peut rompre le lien de causalité adéquate si elle constitue une circonstance tout à fait exceptionnelle ou apparaît si extraordinaire que l'on ne pouvait pas s'y attendre. Il ne suffit pas que l'acte concurrent soit imprévisible; il faut encore que cet acte ait une importance telle qu'il s'impose comme la cause la plus probable et la plus immédiate de l'événement considéré, reléguant à l'arrière-plan tous les autres facteurs qui ont contribué à l'amener, et notamment le comportement de l'auteur ( ATF 127 III 453 consid. 5d p. 457; 123 III 306 consid. 5b p. 314; 122 IV 17 consid. 2c/bb et les arrêts cités). Pour faire apparaître inadéquate la relation de causalité entre le comportement de l'auteur et le dommage, la faute de la victime doit être si lourde et si déraisonnable que l'on ne pouvait compter avec sa survenance ( ATF 116 II 519 consid. 4b p. 524).</w:t>
      </w:r>
    </w:p>
    <w:p>
      <w:r>
        <w:rPr>
          <w:b/>
        </w:rPr>
        <w:t>E. 8.2</w:t>
      </w:r>
    </w:p>
    <w:p>
      <w:r>
        <w:t>Le défendeur appréciait sa collaboratrice, avec laquelle il travaillait depuis un certain temps. Il avait une confiance aveugle en elle, de sorte qu'il ne pouvait imaginer qu'elle en abuserait. Il n'a ainsi exercé aucun contrôle à propos de l'activité accessoire de la demanderesse. En particulier, jusqu'en février 2005, il n'a jamais réclamé à son employée un décompte des heures consacrées à l'activité prud'homale. Les seules pièces remises à l'étude étaient les décomptes de salaire de l'Etat de Genève; elles n'étaient toutefois guère instructives puisque la collaboratrice elle-même avait affirmé à l'employeur à leur sujet que les heures y figurant ne correspondaient en rien à l'activité des mois écoulés.</w:t>
      </w:r>
    </w:p>
    <w:p>
      <w:r>
        <w:t>Certes, le défendeur a fait preuve d'une absence de curiosité confinant au laxisme, ce qui a permis à la demanderesse de faire croire à l'avocat, pendant de nombreux mois, qu'elle utilisait tout le temps prévu pour les prud'hommes à cette fin. Néanmoins, le comportement de l'employeur ne saurait être tenu pour si imprévisible et extraordinaire qu'il fasse apparaître comme inadéquat le lien de causalité entre les manquements de la demanderesse à son devoir de loyauté et le dommage invoqué. L'attitude tolérante adoptée par le défendeur n'a pas eu pour effet de reléguer à l'arrière-plan le comportement déloyal de la demanderesse, dont l'incidence sur la survenance du préjudice allégué par le défendeur est manifeste.</w:t>
      </w:r>
    </w:p>
    <w:p>
      <w:r>
        <w:t>En conséquence, la cour cantonale a méconnu la notion de causalité adéquate en rejetant les prétentions reconventionnelles pour le motif que le comportement de l'employeur était en l'espèce un facteur interruptif. Le recours du défendeur sera admis sur ce point, l'arrêt attaqué étant annulé dans cette mesure. La cause sera renvoyée à la Cour d'appel afin qu'elle examine les autres conditions de la responsabilité de la travailleuse, en particulier l'existence d'un dommage.</w:t>
      </w:r>
    </w:p>
    <w:p>
      <w:r>
        <w:t>Le cas échéant, il y a lieu de rappeler à l'autorité cantonale que, selon la jurisprudence, les circonstances mentionnées à l' art. 321e al. 2 CO peuvent également être prises en considération pour déterminer l'étendue de la réparation (art. 99 al. 3, art. 42 à 44 CO), le juge disposant à cet égard d'un large pouvoir d'appréciation ( ATF 110 II 340 consid. 6b p. 349; arrêt 4C.304/1993 du 21 février 1994, consid. 3a, reproduit in SJ 1995 p. 777). Il est admis par ailleurs que l' art. 321e al. 2 CO ne contient pas une liste exhaustive de facteurs de réduction (Streiff/von Kaenel, Arbeitsvertrag, 6e éd., n. 3 ad art. 321e CO ; Rehbinder, Berner Kommentar, n. 23 ad art. 321e CO ), si bien que d'autres éléments, comme l'attitude du défendeur, peuvent intervenir.</w:t>
      </w:r>
    </w:p>
    <w:p>
      <w:r>
        <w:rPr>
          <w:b/>
        </w:rPr>
        <w:t>E. 9</w:t>
      </w:r>
    </w:p>
    <w:p>
      <w:r>
        <w:t>La demanderesse succombe entièrement dans ses conclusions en paiement. Elle supportera dès lors les frais judiciaires afférents à son recours ( art. 66 al. 1 LTF ). Comme la valeur litigieuse, calculée selon les prétentions à l'ouverture de l'action ( ATF 115 II 30 consid. 5b p. 41; cf. Message du 28 février 2001 concernant la révision totale de l'organisation judiciaire fédérale, in FF 2001, p. 4103) dépasse le seuil de 30'000 fr., le montant de l'émolument judiciaire sera fixé selon le tarif ordinaire ( art. 65 al. 3 let. b LTF ), et non réduit ( art. 65 al. 4 let . c LTF).</w:t>
      </w:r>
    </w:p>
    <w:p>
      <w:r>
        <w:t>Pour sa part, le défendeur voit son recours admis sur deux de ses trois conclusions, soit pour plus de 8/10èmes de la valeur litigieuse en jeu. Conformément à cette proportion, il prendra à sa charge 2/10èmes des frais judiciaires en relation avec son recours, le reste étant supporté par la demanderesse ( art. 66 al. 1 LTF ).</w:t>
      </w:r>
    </w:p>
    <w:p>
      <w:r>
        <w:t>Le défendeur conclut à l'octroi de dépens. En règle générale, la partie qui succombe est tenue de rembourser à la partie qui a obtenu gain de cause, selon le tarif du Tribunal fédéral, tous les frais causés par le litige ( art. 68 al. 2 LTF ). Selon l'art. 1 du règlement sur les dépens alloués à la partie adverse et sur l'indemnité pour la représentation d'office dans les causes portées devant le Tribunal fédéral (ci-après: le règlement; RS 173.110.210.3), les dépens comprennent les frais d'avocat et les autres frais indispensables occasionnés par le litige.</w:t>
      </w:r>
    </w:p>
    <w:p>
      <w:r>
        <w:t>En l'espèce, le défendeur ne peut prétendre au remboursement de frais d'avocat dès lors qu'il agit dans sa propre cause. L'art. 11 du règlement prévoit toutefois que, lorsque des circonstances particulières le justifient, le Tribunal fédéral peut allouer à une partie une indemnité pour d'autres activités indispensables occasionnées par le litige. En l'occurrence, il se justifie, tout bien considéré,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