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4A_122/2024 vom 12. März 2024</w:t>
      </w:r>
    </w:p>
    <w:p>
      <w:r>
        <w:t>Bundesgericht, 2024-03-12, DE</w:t>
      </w:r>
    </w:p>
    <w:p>
      <w:r>
        <w:rPr>
          <w:b/>
        </w:rPr>
        <w:t xml:space="preserve">Quelle: </w:t>
      </w:r>
      <w:r>
        <w:t>https://mcp.opencaselaw.ch/entscheid/bger_4A_122_2024</w:t>
      </w:r>
    </w:p>
    <w:p>
      <w:r>
        <w:t>FR: TF 4A_122/2024 du 12 mars 2024</w:t>
      </w:r>
    </w:p>
    <w:p>
      <w:r>
        <w:t>IT: TF 4A_122/2024 del 12 marzo 2024</w:t>
      </w:r>
    </w:p>
    <w:p>
      <w:pPr>
        <w:pStyle w:val="Heading2"/>
      </w:pPr>
      <w:r>
        <w:t>Erwägungen</w:t>
      </w:r>
    </w:p>
    <w:p>
      <w:r>
        <w:rPr>
          <w:b/>
        </w:rPr>
        <w:t>E. 1</w:t>
      </w:r>
    </w:p>
    <w:p>
      <w:r>
        <w:t>Mit Entscheid vom 30. Mai 2023 trat die Präsidentin des Zivilgerichts Basel-Stadt auf eine vom Beschwerdeführer gegen die Beschwerdegegnerin 1 erhobene Klage nicht ein, wies das Gesuch um Gewährung der unentgeltlichen Rechtspflege ab und auferlegte dem Beschwerdeführer die Gerichtskosten.</w:t>
      </w:r>
    </w:p>
    <w:p>
      <w:r>
        <w:t>Mit Entscheid vom 30. Januar 2024 trat das Appellationsgericht des Kantons Basel-Stadt auf eine vom Beschwerdeführer gegen den zivilgerichtlichen Entscheid vom 30. Mai 2023 erhobene Berufung nicht ein. Im Sinne einer Eventualbegründung hielt es fest, dass die Berufung ohnehin unbegründet wäre.</w:t>
      </w:r>
    </w:p>
    <w:p>
      <w:r>
        <w:t>Mit Eingabe vom 15. Februar 2024 erklärte der Beschwerdeführer dem Bundesgericht, den Entscheid des Appellationsgerichts des Kantons Basel-Stadt vom 30. Januar 2024 mit Beschwerde anfechten zu wollen.</w:t>
      </w:r>
    </w:p>
    <w:p>
      <w:r>
        <w:t>Am 7. März 2024 reichte der Beschwerdeführer dem Bundesgericht eine weitere Eingabe ein.</w:t>
      </w:r>
    </w:p>
    <w:p>
      <w:r>
        <w:t>Es wurden keine Vernehmlassungen eingeholt.</w:t>
      </w:r>
    </w:p>
    <w:p>
      <w:r>
        <w:rPr>
          <w:b/>
        </w:rPr>
        <w:t>E. 2</w:t>
      </w:r>
    </w:p>
    <w:p>
      <w:r>
        <w:t>Das Bundesgericht prüft von Amtes wegen und mit freier Kognition, ob ein Rechtsmittel zulässig ist ( Art. 29 Abs. 1 BGG ; BGE 148 IV 155 E. 1.1 ; 145 I 121 E. 1; 143 III 140 E. 1).</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w:t>
      </w:r>
    </w:p>
    <w:p>
      <w:r>
        <w:t>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2.3</w:t>
      </w:r>
    </w:p>
    <w:p>
      <w:r>
        <w:t>Der Beschwerdeführer setzt sich in seinen Beschwerdeeingaben vom 15. Februar und 7. März 2024 nicht hinreichend mit den Erwägungen des angefochtenen Entscheids des Appellationsgerichts des Kantons Basel-Stadt vom 30. Januar 2024 auseinander und zeigt nicht rechtsgenügend auf, inwiefern die Vorinstanz mit ihrem Nichteintretensentscheid, geschweige denn mit ihrer Eventualbegründung, Bundesrecht verletzt hätte. Stattdessen unterbreitet er dem Bundesgericht in unzulässiger Weise seine eigene Sicht der Dinge.</w:t>
      </w:r>
    </w:p>
    <w:p>
      <w:r>
        <w:t>Auf die Beschwerde ist somit mangels hinreichender Begründung nicht einzutreten ( Art. 108 Abs. 1 lit. b BGG ).</w:t>
      </w:r>
    </w:p>
    <w:p>
      <w:r>
        <w:rPr>
          <w:b/>
        </w:rPr>
        <w:t>E. 3</w:t>
      </w:r>
    </w:p>
    <w:p>
      <w:r>
        <w:t>Unter den gegebenen Umständen ist ausnahmsweise auf die Erhebung von Gerichtskosten zu verzichten (Art. 66 Abs. 1 zweiter Satz BGG), womit das sinngemäss gestellte Gesuch um Befreiung von diesen Kosten im bundesgerichtlichen Verfahren gegenstandslos wird. Den Beschwerdegegnern steht keine Parteientschädigung zu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