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4A_121/2025 vom 8. April 2025</w:t>
      </w:r>
    </w:p>
    <w:p>
      <w:r>
        <w:t>Bundesgericht, 2025-04-08, DE</w:t>
      </w:r>
    </w:p>
    <w:p>
      <w:r>
        <w:rPr>
          <w:b/>
        </w:rPr>
        <w:t xml:space="preserve">Quelle: </w:t>
      </w:r>
      <w:r>
        <w:t>https://mcp.opencaselaw.ch/entscheid/bger_4A_121_2025</w:t>
      </w:r>
    </w:p>
    <w:p>
      <w:r>
        <w:t>FR: TF 4A_121/2025 du 8 avril 2025</w:t>
      </w:r>
    </w:p>
    <w:p>
      <w:r>
        <w:t>IT: TF 4A_121/2025 del 8 aprile 2025</w:t>
      </w:r>
    </w:p>
    <w:p>
      <w:pPr>
        <w:pStyle w:val="Heading2"/>
      </w:pPr>
      <w:r>
        <w:t>Erwägungen</w:t>
      </w:r>
    </w:p>
    <w:p>
      <w:r>
        <w:rPr>
          <w:b/>
        </w:rPr>
        <w:t>E. 1</w:t>
      </w:r>
    </w:p>
    <w:p>
      <w:r>
        <w:t>Mit Urteil vom 18. Dezember 2024 erteilte das Einzelgericht Audienz am Bezirksgericht Zürich dem Beschwerdegegner in der Betreibung Nr. xxx des Betreibungsamts Zürich 12 (Zahlungsbefehl vom 22. Mai 2024) definitive Rechtsöffnung für Fr. 32'313.65. Dagegen erhob der Beschwerdeführer Beschwerde an das Obergericht des Kantons Zürich. Mit Beschluss und Urteil vom 11. Februar 2025 wies das Obergericht das Gesuch des Beschwerdeführers um unentgeltliche Rechtspflege für das Beschwerdeverfahren und seine Beschwerde ab, soweit es darauf eintrat.</w:t>
      </w:r>
    </w:p>
    <w:p>
      <w:r>
        <w:t>Dagegen erhebt der Beschwerdeführer mit Eingabe vom 7. März 2025 Beschwerde an das Bundesgericht. Am 20. März 2025 reichte er ein Gesuch um unentgeltliche Rechtspflege ein.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Diesen Anforderungen genügen die Eingaben des Beschwerdeführers offensichtlich nicht.</w:t>
      </w:r>
    </w:p>
    <w:p>
      <w:r>
        <w:rPr>
          <w:b/>
        </w:rPr>
        <w:t>E. 3.1</w:t>
      </w:r>
    </w:p>
    <w:p>
      <w:r>
        <w:t>Er rügt zwar vorweg die Befangenheit des Obergerichts, da es über eine Beschwerde entscheide, welche die gerichtseigene Inkassostelle eintreibe. Im angefochtenen Entscheid ist aber nicht festgestellt, dass der Beschwerdeführer den Ausstand in Nachachtung von Art. 49 Abs. 1 ZPO bereits vor der Vorinstanz begehrt hätte. Er zeigt auch nicht mit präzisen Aktenhinweisen auf, dass er solches entgegen den Feststellungen der Vorinstanz vorgebracht hätte, zumindest offensichtlich nicht hinreichend (Erwägung 2.2), noch weshalb er den angerufenen Umstand nicht schon im vorinstanzlichen Verfahren geltend machen konnte. Er hat damit die Anrufung dieses Ausstandsgrundes verwirkt ( BGE 150 I 68 E. 2.1; 149 III 12 E. 3.2.1) und die Beschwerde ist insoweit unzulässig. Ohnehin ist der Vorwurf unbegründet (dazu: Urteil 5A_586/2008 vom 22. Oktober 2009 E. 2).</w:t>
      </w:r>
    </w:p>
    <w:p>
      <w:r>
        <w:rPr>
          <w:b/>
        </w:rPr>
        <w:t>E. 3.2</w:t>
      </w:r>
    </w:p>
    <w:p>
      <w:r>
        <w:t>Im Übrigen kritisiert der Beschwerdeführer den angefochtenen Entscheid ausführlich und rügt die Verletzung einer Vielzahl von verschiedenen Normen. Er geht indessen auf die Erwägungen der Vorinstanz nicht hinreichend konkret ein, geschweige denn zeigt er nachvollziehbar auf, welche Rechte die Vorinstanz mit ihrem Entscheid inwiefern verletzt haben soll. Insoweit ist auf die Beschwerde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