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4A_121/2012 vom 10. September 2012</w:t>
      </w:r>
    </w:p>
    <w:p>
      <w:r>
        <w:t>Bundesgericht, 2012-09-10, DE</w:t>
      </w:r>
    </w:p>
    <w:p>
      <w:r>
        <w:rPr>
          <w:b/>
        </w:rPr>
        <w:t xml:space="preserve">Quelle: </w:t>
      </w:r>
      <w:r>
        <w:t>https://mcp.opencaselaw.ch/entscheid/bger_4A_121_2012</w:t>
      </w:r>
    </w:p>
    <w:p>
      <w:r>
        <w:t>FR: TF 4A_121/2012 du 10 septembre 2012</w:t>
      </w:r>
    </w:p>
    <w:p>
      <w:r>
        <w:t>IT: TF 4A_121/2012 del 10 settembre 2012</w:t>
      </w:r>
    </w:p>
    <w:p>
      <w:pPr>
        <w:pStyle w:val="Heading2"/>
      </w:pPr>
      <w:r>
        <w:t>Erwägungen</w:t>
      </w:r>
    </w:p>
    <w:p>
      <w:r>
        <w:rPr>
          <w:b/>
        </w:rPr>
        <w:t>E. 1</w:t>
      </w:r>
    </w:p>
    <w:p>
      <w:r>
        <w:t>Der angefochtene Entscheid ist ein verfahrensabschliessender Endentscheid ( Art. 90 BGG ) einer letzten kantonalen Instanz ( Art. 75 Abs. 1 BGG ). Der für die Beschwerde in Zivilsachen erforderliche Streitwert von Fr. 15'000.-- wird nach zutreffender Feststellung im angefochtenen Urteil überschritten ( Art. 74 Abs. 1 lit. a BGG ). Da auch die übrigen Sachurteilsvoraussetzungen erfüllt sind, ist auf die Beschwerde einzutreten.</w:t>
      </w:r>
    </w:p>
    <w:p>
      <w:r>
        <w:rPr>
          <w:b/>
        </w:rPr>
        <w:t>E. 2.1</w:t>
      </w:r>
    </w:p>
    <w:p>
      <w:r>
        <w:t>Was das Übergangsrecht anbelangt, hielt die Vorinstanz unangefochten und zu Recht fest, da der in Anwendung des bisherigen Prozessrechts getroffene erstinstanzliche Entscheid nach dem Inkrafttreten der Schweizerischen Zivilprozessordnung (ZPO) am 1. Januar 2011 eröffnet worden sei, gelte diese nach Art. 405 Abs. 1 ZPO für das kantonale Rechtsmittelverfahren.</w:t>
      </w:r>
    </w:p>
    <w:p>
      <w:r>
        <w:rPr>
          <w:b/>
        </w:rPr>
        <w:t>E. 2.2</w:t>
      </w:r>
    </w:p>
    <w:p>
      <w:r>
        <w:t>Die ZPO sieht als Rechtsmittel namentlich die Berufung vor ( Art. 308 ff. ZPO ). Diese ist bei der Rechtsmittelinstanz innert 30 Tagen seit Zustellung des begründeten Entscheids schriftlich und begründet einzureichen ( Art. 311 Abs. 1 ZPO ). Gegen einen im summarischen Verfahren ergangenen Entscheid beträgt die Frist zur Einreichung der Berufung jedoch zehn Tage ( Art. 314 Abs. 1 ZPO ).</w:t>
      </w:r>
    </w:p>
    <w:p>
      <w:r>
        <w:rPr>
          <w:b/>
        </w:rPr>
        <w:t>E. 2.3</w:t>
      </w:r>
    </w:p>
    <w:p>
      <w:r>
        <w:t>Die Vorinstanz hielt dafür, der erstinstanzliche Entscheid sei trotz der im Rubrum anders lautenden Bezeichnung im summarischen Verfahren ergangen, entscheide doch der Gerichtspräsident nach § 20 Abs. 1 lit. b der erstinstanzlich geltenden kantonalen Vollziehungsverordnung zum Bundesgesetz über die Änderung des Obligationenrechts (Miete und Pacht) vom 25. Juni 1990 über Streitigkeiten betreffend die Missbräuchlichkeit von Miet- und Pachtzinsen oder Forderungen des Vermieters oder Verpächters im summarischen Verfahren. Dies habe auch die Beschwerdeführerin erkannt. Demnach betrage die Frist zur Einreichung der Berufung gemäss Art. 314 Abs. 1 ZPO zehn Tage. Da die Beschwerdeführerin ihre Berufung nach Ablauf dieser Frist eingereicht habe, sei darauf nicht einzutreten. Daran ändere nichts, dass ihr in der Rechtsmittelbelehrung eine dreissigtägige Berufungsfrist angegeben worden sei. Da sie rechtskundig vertreten gewesen sei und bei zumutbarer Sorgfalt allein durch Konsultation der massgeblichen Verfahrensvorschriften die Unrichtigkeit der Rechtsmittelbelehrung hätte erkennen können und müssen, sei ihr versagt, sich darauf zu berufen, aus einer falschen Rechtsmittelbelehrung dürfe ihr kein Rechtsnachteil erwachsen.</w:t>
      </w:r>
    </w:p>
    <w:p>
      <w:r>
        <w:rPr>
          <w:b/>
        </w:rPr>
        <w:t>E. 2.4</w:t>
      </w:r>
    </w:p>
    <w:p>
      <w:r>
        <w:t>Die Beschwerdeführerin macht geltend, gemäss Art. 405 Abs. 1 ZPO beherrsche das neue Recht die Frage, welches Rechtsmittel gegen den unter neuem Recht eröffneten Entscheid zu ergreifen sei. Nach der Rechtsprechung des Bundesgerichts sei diesbezüglich der Inhalt des angefochtenen Beschlusses entscheidend. Mit Blick auf das zutreffende Rechtsmittel sei somit zu ermitteln, in welchem Verfahren der angefochtene Entscheid nach der ZPO hätte ergehen müssen. Dies wäre vorliegend gemäss Art. 243 Abs. 2 lit. c ZPO das vereinfachte Verfahren gewesen. Die Rechtsmittelfrist betrage demnach gemäss Art. 311 Abs. 1 ZPO 30 Tage.</w:t>
      </w:r>
    </w:p>
    <w:p>
      <w:r>
        <w:t>Selbst wenn eine Berufungsfrist von 10 Tagen zur Anwendung gelangen sollte, müsste auf die Berufung eingetreten werden, da diesfalls das Nichteintreten dem Grundsatz von Treu und Glauben gemäss Art. 9 BV widersprechen würde, habe die Vorinstanz doch selbst für die Berufungsantwort in Anwendung von Art. 312 Abs. 2 ZPO eine Frist von 30 Tagen angesetzt und damit die Anwendung von Art. 311 ZPO impliziert.</w:t>
      </w:r>
    </w:p>
    <w:p>
      <w:r>
        <w:rPr>
          <w:b/>
        </w:rPr>
        <w:t>E. 2.5</w:t>
      </w:r>
    </w:p>
    <w:p>
      <w:r>
        <w:t>In der Beschwerdeantwort erklärt die Vorinstanz, bei der Ansetzung der dreissigtägigen Frist zur Erstattung der Berufungsantwort sei ihr ein Versehen unterlaufen, welches sie im Urteil korrigiert habe, indem sie auch die Antwort als verspätet eingereicht erachtet habe.</w:t>
      </w:r>
    </w:p>
    <w:p>
      <w:r>
        <w:rPr>
          <w:b/>
        </w:rPr>
        <w:t>E. 2.6.1</w:t>
      </w:r>
    </w:p>
    <w:p>
      <w:r>
        <w:t>Aus dem Prinzip von Treu und Glauben ( Art. 5 Abs. 3 und Art. 9 BV ) leitet die Rechtsprechung ein Recht auf Vertrauensschutz ab. Daraus ergibt sich,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 BGE 135 III 374 E. 1.2.2.1 S. 376 f. mit Hinweisen). Wann der Prozesspartei eine als grob zu wertende Unsorgfalt vorzuwerfen ist, beurteilt sich nach den konkreten Umständen und nach ihren Rechtskenntnissen, wobei bei Anwälten naturgemäss ein strengerer Massstab anzulegen ist. Von ihnen wird jedenfalls eine "Grobkontrolle" der Rechtsmittelbelehrung durch Konsultierung der anwendbaren Verfahrensbestimmungen erwartet. Dagegen wird nicht verlangt, dass neben den Gesetzestexten auch noch die einschlägige Rechtsprechung oder Literatur nachgeschlagen wird ( BGE 138 I 49 E. 8.3.2 S. 53 f. mit Hinweisen).</w:t>
      </w:r>
    </w:p>
    <w:p>
      <w:r>
        <w:rPr>
          <w:b/>
        </w:rPr>
        <w:t>E. 2.6.2</w:t>
      </w:r>
    </w:p>
    <w:p>
      <w:r>
        <w:t>Mit Bezug auf Art. 314 Abs. 1 ZPO im Speziellen erkannte das Bundesgericht, diese Bestimmung sehe vor, die Frist zur Einreichung der Berufung betrage 10 Tage, wenn der angefochtene Entscheid im summarischen Verfahren ergangen sei. Die Vorschrift präzisiere aber nicht, ob mit dem "summarischen Verfahren" das konkret nach kantonalem Prozessrecht angewandte oder das abstrakt nach ZPO anzuwendende Verfahren gemeint sei. Welche Berufungsfrist übergangsrechtlich zu gelten habe, stehe damit nicht eindeutig fest, weshalb ein diesbezüglicher Irrtum jedenfalls nicht als grobe Unsorgfalt gewertet werden könne. Unter diesen Umständen sei auch eine anwaltlich vertretene Partei in ihrem Vertrauen in eine unrichtige Angabe des erstinstanzlich Gerichts zu schützen ( BGE 138 I 49 E. 8.4 S. 54).</w:t>
      </w:r>
    </w:p>
    <w:p>
      <w:r>
        <w:rPr>
          <w:b/>
        </w:rPr>
        <w:t>E. 2.7</w:t>
      </w:r>
    </w:p>
    <w:p>
      <w:r>
        <w:t>Gestützt auf diese Rechtsprechung steht fest, dass der von der Vorinstanz angenommene Mangel in der Rechtsmittelbelehrung, sollte es sich denn um einen solchen handeln, ausschliesslich anhand der Lektüre des einschlägigen Gesetzestexts nicht erkennbar war. Vielmehr lässt sich die vom erstinstanzlichen Richter bezeichnete Rechtsmittelfrist mit guten Gründen vertreten (vgl. BGE 138 I 49 E. 7.3 S. 52). Welche Berufungsfrist richtigerweise hätte Anwendung finden müssen, braucht demnach nicht entschieden zu werden. So oder anders hätte die Vorinstanz die Beschwerdeführerin in ihrem Vertrauen in die Richtigkeit der im erstinstanzlichen Urteil angeführten Rechtsmittelfrist schützen und die Berufung als rechtzeitig entgegen nehmen müssen. Die Rüge der Verletzung des Grundsatzes von Treu und Glauben nach Art. 9 BV bzw. Art. 52 ZPO erweist sich als begründet.</w:t>
      </w:r>
    </w:p>
    <w:p>
      <w:r>
        <w:rPr>
          <w:b/>
        </w:rPr>
        <w:t>E. 3</w:t>
      </w:r>
    </w:p>
    <w:p>
      <w:r>
        <w:t>Aus den dargelegten Gründen ist die Beschwerde gutzuheissen, der angefochtene Entscheid aufzuheben und die Sache zur Neubeurteilung an die Vorinstanz zurückzuweisen ( Art. 107 BGG ). Die Beschwerdegegnerin kann im Verfahren vor Bundesgericht nicht als unterliegende Partei betrachtet werden, zumal sie in diesem Verfahren keinen Antrag stellte und die Vorinstanz die Rechtzeitigkeit des Rechtsmittels von Amtes wegen zu prüfen hatte. Kosten sind daher nicht zu erheben ( Art. 66 Abs. 1 und 4 BGG ), und der Kanton Aargau hat die Beschwerdeführerin für das bundesgerichtliche Verfahren mit Fr. 2'500.-- zu entschädigen (Art. 68 Abs. 4 i.V.m. Art. 66 Abs. 3 BGG ; vgl. Urteil 4A_595/2011 vom 17. Februar 2012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