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4A_11/2025 vom 2. Mai 2025</w:t>
      </w:r>
    </w:p>
    <w:p>
      <w:r>
        <w:t>Bundesgericht, 2025-05-02, FR</w:t>
      </w:r>
    </w:p>
    <w:p>
      <w:r>
        <w:rPr>
          <w:b/>
        </w:rPr>
        <w:t xml:space="preserve">Quelle: </w:t>
      </w:r>
      <w:r>
        <w:t>https://mcp.opencaselaw.ch/entscheid/bger_4A_11_2025</w:t>
      </w:r>
    </w:p>
    <w:p>
      <w:r>
        <w:t>FR: TF 4A_11/2025 du 2 mai 2025</w:t>
      </w:r>
    </w:p>
    <w:p>
      <w:r>
        <w:t>IT: TF 4A_11/2025 del 2 maggio 2025</w:t>
      </w:r>
    </w:p>
    <w:p>
      <w:pPr>
        <w:pStyle w:val="Heading2"/>
      </w:pPr>
      <w:r>
        <w:t>Erwägungen</w:t>
      </w:r>
    </w:p>
    <w:p>
      <w:r>
        <w:rPr>
          <w:b/>
        </w:rPr>
        <w:t>E. 1</w:t>
      </w:r>
    </w:p>
    <w:p>
      <w:r>
        <w:t>Par jugement du 18 janvier 2024, le Tribunal des prud'hommes genevois a condamné A.________ à payer au demandeur B.________ la somme brute de 311'130 fr. 20, avec intérêts et sous déduction des charges sociales et légales usuelles, ainsi qu'un montant net de 173'226 fr. 10, intérêts en sus.</w:t>
      </w:r>
    </w:p>
    <w:p>
      <w:r>
        <w:rPr>
          <w:b/>
        </w:rPr>
        <w:t>E. 2</w:t>
      </w:r>
    </w:p>
    <w:p>
      <w:r>
        <w:t>Saisie d'un appel formé par la défenderesse, la Chambre des prud'hommes de la Cour de justice du canton de Genève l'a rejeté par arrêt du 12 novembre 2024.</w:t>
      </w:r>
    </w:p>
    <w:p>
      <w:r>
        <w:rPr>
          <w:b/>
        </w:rPr>
        <w:t>E. 3</w:t>
      </w:r>
    </w:p>
    <w:p>
      <w:r>
        <w:t>Le 6 janvier 2025, A.________ (ci-après: la recourante) a formé un recours en matière civile, assorti d'une requête d'effet suspensif, à l'encontre de cet arrêt. Par ordonnance présidentielle du 9 janvier 2025, la recourante a été invitée à effectuer une avance de frais de 8'000 fr. jusqu'au 24 janvier 2025. Invités à répondre au recours et à se déterminer sur la requête d'effet suspensif, la cour cantonale s'est référée aux considérants de son arrêt, tandis que B.________ (ci-après: l'intimé) a conclu au rejet de la demande d'effet suspensif et à l'irrecevabilité du recours ou, subsidiairement, au rejet de celui-ci. La demande d'effet suspensif a été admise par ordonnance présidentielle du 7 février 2025. Par ordonnance du 21 mars 2025, la recourante s'est vu impartir, conformément à l'art. 62 al. 3 de la loi sur le Tribunal fédéral du 17 juin 2005 (LTF; RS 173.110), un délai supplémentaire échéant le 7 avril 2025 pour régler le solde de l'avance de frais requise, faute de quoi son recours serait déclaré irrecevable.</w:t>
      </w:r>
    </w:p>
    <w:p>
      <w:r>
        <w:rPr>
          <w:b/>
        </w:rPr>
        <w:t>E. 4</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la recourante n'a pas réglé l'intégralité de l'avance de frais exigée dans le délai supplémentaire imparti au 7 avril 2025 par ordonnance du 21 mars 2025. Le recours se révèle dès lors manifestement irrecevable en vertu de l' art. 62 al. 3 LTF , ce qu'il convient de constater en faisant application de la procédure simplifiée prévue par l' art. 108 al. 1 LTF .</w:t>
      </w:r>
    </w:p>
    <w:p>
      <w:r>
        <w:rPr>
          <w:b/>
        </w:rPr>
        <w:t>E. 5</w:t>
      </w:r>
    </w:p>
    <w:p>
      <w:r>
        <w:t>La recourante, qui succombe, supportera les frais de la présente procédure, lesquels seront toutefois réduits compte tenu de l'issue du litige (art. 66 al. 1 in fine LTF). En revanche, elle versera de pleins dépens à l'intimé, dès lors que celui-ci a dû se déterminer sur le recours 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