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11/2008 vom 22. Mai 2008</w:t>
      </w:r>
    </w:p>
    <w:p>
      <w:r>
        <w:t>Bundesgericht, 2008-05-22, FR</w:t>
      </w:r>
    </w:p>
    <w:p>
      <w:r>
        <w:rPr>
          <w:b/>
        </w:rPr>
        <w:t xml:space="preserve">Quelle: </w:t>
      </w:r>
      <w:r>
        <w:t>https://mcp.opencaselaw.ch/entscheid/bger_4A_11_2008</w:t>
      </w:r>
    </w:p>
    <w:p>
      <w:r>
        <w:t>FR: TF 4A 11/2008 du 22 mai 2008</w:t>
      </w:r>
    </w:p>
    <w:p>
      <w:r>
        <w:t>IT: TF 4A 11/2008 del 22 maggio 2008</w:t>
      </w:r>
    </w:p>
    <w:p>
      <w:pPr>
        <w:pStyle w:val="Heading2"/>
      </w:pPr>
      <w:r>
        <w:t>Regeste</w:t>
      </w:r>
    </w:p>
    <w:p>
      <w:r>
        <w:t>rémunération de l'avocat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francs (art. 51 al. 1 let. a et 74 al. 1 let. b LTF). Il est formé par une partie qui a pris part à l'instance précédente et succombé dans ses conclusions ( art. 76 al. 1 LTF ). Introduit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de plus, il ne se prononce sur la violation de droits fondamentaux que s'il se trouve saisi d'un grief invoqué et motivé de façon détaillée ( art. 106 al. 2 LTF ; même arrêt,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Parmi d'autres griefs, sur divers points, le défendeur se plaint de violation des art. 9 et 29 al. 2 Cst.</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n'invalide la solution retenue par l'autorité cantonale de dernière instance que si sa décision apparaît insoutenable, en contradiction manifeste avec la situation effective, adoptée sans motifs objectifs ou en violation d'un droit certain ( ATF 132 I 13 consid. 5.1 p. 17; 131 I 467 consid. 3.1 p. 473/474; 129 I 8 consid. 2.1 p. 9).</w:t>
      </w:r>
    </w:p>
    <w:p>
      <w:r>
        <w:rPr>
          <w:b/>
        </w:rPr>
        <w:t>E. 2.2</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Le Tribunal fédéral contrôle librement le respect de l' art. 29 al. 2 Cst. ( ATF 126 I 19 consid. 2a p. 21/22). Pour le surplus, cette disposition n'assure au plaideur qu'une protection minimum dans une procédure régie au premier chef par le droit cantonal. Celui-ci peut conférer un droit d'être entendu de plus grande ampleur; le plaideur est alors autorisé, s'il y a lieu et sur la base de l' art. 9 Cst. , à se plaindre d'une application arbitraire des dispositions concernées ( ATF 125 I 257 consid. 3a p. 259).</w:t>
      </w:r>
    </w:p>
    <w:p>
      <w:r>
        <w:rPr>
          <w:b/>
        </w:rPr>
        <w:t>E. 3</w:t>
      </w:r>
    </w:p>
    <w:p>
      <w:r>
        <w:t>En règle générale, dans le canton du Valais, les contestations pécuniaires dont la valeur litigieuse excède 30'000 fr. sont instruites selon les règles de la procédure ordinaire par le juge de district compétent à raison du lieu, et jugées par une cour civile du Tribunal cantonal (art. 22 al. 2, 23 al. 1 let. b, 23 al. 5 let. b CPC val.). Dans la présente affaire, la Ire Cour civile a statué sur la base d'une compétence spéciale prévue par l'art. 30 de la loi d'organisation judiciaire du 27 juin 2000 (OJ val.), conçu comme suit: En cas de contestation au sujet des honoraires et frais dus par une partie à son mandataire, le tribunal qui a jugé l'affaire, ou qui en était saisi lorsque le procès a pris fin, les fixe sans débat en procédure sommaire. Aux termes de l' art. 287 al. 1 et 2 CPC val., le droit d'obtenir l'administration de preuves est restreint en procédure sommaire (al. 1); toutefois, si le juge statue définitivement sur une prétention, la décision doit être rendue à l'issue d'une procédure probatoire complète (al. 2). Selon le jugement dont est recours, l' art. 30 OJ val. n'institue pas une simple procédure de modération qui tendrait seulement à l'évaluation de la prestation fournie par le mandataire; l'autorité saisie constate plutôt la créance d'honoraires et elle rend une décision exécutoire, dotée de l'autorité de chose jugée. Selon ce même jugement, l'autorité ne se prononce que sur les frais et honoraires de la procédure accomplie devant elle, à l'exclusion de ceux afférents aux procédures connexes qui se sont, le cas échéant, déroulées devant d'autres organes. Cette manière d'interpréter l' art. 30 OJ val. correspond au texte de cette disposition et on ne saurait donc la juger arbitraire dans son principe. Elle soulève pourtant d'importantes difficultés. En effet, elle impose aux parties d'agir simultanément ou successivement devant chacune des autorités qui ont été saisies, et, alors même que certaines prestations du mandataire ont pu être utiles à plusieurs de ces procédures, il faut parvenir à les répartir précisément entre elles pour aboutir à une rémunération sans lacunes ni cumuls. Il faut aussi répartir les avances versées par le client. La Cour n'a cependant pas appliqué l' art. 30 OJ val. tel qu'elle l'interprétait. Elle aurait dû renvoyer les parties à mieux agir, devant les autorités compétentes, dans la mesure où la demanderesse demandait compte d'avances versées pour des procédures autres que l'action en libération de dettes, et où le défendeur réclamait des honoraires pour ces mêmes procédures. Au lieu de cela, elle a rendu un jugement portant sur l'ensemble des prétentions en litige. Elle a reconnu une créance d'honoraires de 5'000 fr., globale, pour toutes les procédures connexes à l'action en libération de dettes. Or, elle n'a pas élucidé ni évalué l'activité fournie par l'avocat défendeur dans ces procédures; elle a au contraire refusé d'analyser les pièces produites par lui aux fins d'établir cette activité, et elle a aussi refusé de se faire remettre les dossiers constitués par les autorités concernées; elle n'a alloué, en définitive, que le montant de 5'000 fr. admis par la demanderesse. Cette démarche ne correspond pas à une application cohérente de l' art. 30 OJ val., et elle consacre en tous cas une application arbitraire de l' art. 287 al. 2 CPC val. relatif au droit d'obtenir des mesures probatoires même en procédure sommaire. Il s'ensuit que le défendeur se plaint à juste titre de violation des art. 9 et 29 al. 2 Cst.</w:t>
      </w:r>
    </w:p>
    <w:p>
      <w:r>
        <w:rPr>
          <w:b/>
        </w:rPr>
        <w:t>E. 4</w:t>
      </w:r>
    </w:p>
    <w:p>
      <w:r>
        <w:t>Le client est lié à son avocat par un contrat de mandat et il lui doit a priori, conformément à l' art. 394 al. 3 CO , la rémunération prévue par la convention ou l'usage ( ATF 117 II 282 consid. 4 p. 283). Réservé par l' art. 6 CC , le droit public cantonal peut cependant soumettre les prestations de l'avocat à un tarif, en ce qui concerne l'activité que ce conseil fournit dans des procédures accomplies devant les autorités du canton ( ATF 66 I 51 consid. 1 p. 55; 117 II 282 consid. 4a p. 283). La loi fédérale sur la libre circulation des avocats, du 23 juin 2000, n'a rien changé à ces principes; le Conseil fédéral a renoncé à proposer des dispositions nouvelles dans ce domaine (Message du 28 avril 1999, FF 1999 p. 5333, 5355/5356). En ce qui concerne les honoraires à allouer pour l'action en libération de dettes, la Ire Cour civile se réfère à la loi cantonale fixant le tarif des frais et dépens devant les autorités judiciaires ou administratives (LTar), du 14 mai 1998. Elle juge que certaines des prétentions élevées par le défendeur sont incompréhensibles et que pour le surplus, elles sont grossièrement exagérées. La Cour récapitule les prestations admises et cite l'art. 32 LTar qu'elle tient pour déterminant; en définitive, elle retient que le défendeur ne peut rien exiger en sus des dépens obtenus par sa cliente selon le jugement du 13 janvier 2006, au montant de 21'000 fr.; elle précise que si l'avocat estimait cette somme insuffisante, il lui incombait de recourir contre ce prononcé. A teneur de l'art. 3 al. 1 LTar, « la décision fixant les dépens ne lie pas l'avocat et son client dans leurs relations internes ». Cette décision porte donc seulement sur l'obligation d'une partie au procès - en principe, celle qui succombe - envers l'autre partie et elle n'influence pas les créances d'honoraires de leurs avocats. La loi du 14 mai 1998 n'est pas un tarif cantonal de la rémunération des avocats et le jugement du 13 janvier 2006 n'est pas opposable au défendeur. En tant que le Tribunal fédéral s'est parfois référé à cette loi pour contrôler l'évaluation des honoraires dus à un avocat (arrêt 4P.149/2006 du 5 septembre 2006, consid. 3.6), cette pratique confère à ce texte une portée exorbitante de son champ d'application et elle ne sera donc pas confirmée dans la présente espèce. Le défendeur est au contraire autorisé à se plaindre d'une application arbitraire de l'art. 3 al. 1 LTar. Le défendeur réclame l'application du tarif de l'Ordre des avocats valaisans. La Cour civile constate que la demanderesse, en souscrivant une procuration le 3 novembre 1997, a promis au défendeur de lui « payer ou rembourser les frais, honoraires, dépens ou provisions, conformément à la loi, à l'usage ou aux tarifs en vigueur ». Selon le principe de la confiance qui régit l'interprétation des déclarations ou autres manifestations de volonté des cocontractants ( ATF 132 III 24 consid. 4 p. 27/28), cette formule ne peut pas être comprise de bonne foi comme une référence précise à un tarif spécifique tel que celui de l'Ordre des avocats valaisans. Contrairement à l'opinion du défendeur, ce tarif-ci n'a donc pas été convenu entre les parties. Il appartiendra à la Cour civile d'examiner si ledit tarif doit éventuellement être tenu, dans le canton du Valais, pour l'expression de l'usage visé par l' art. 394 al. 3 CO (cf. ATF 117 II 282 consid. 4b p. 283). Dans la négative, la Cour évaluera les honoraires d'après l'activité effectivement fournie et objectivement nécessaire à l'accomplissement du mandat, en tenant compte, notamment, de l'importance de l'affaire et du résultat obtenu (même arrêt, consid. 4c p. 284; cf. Jean Heim, Les honoraires d'avocat en Suisse, in L'honoraire de l'avocat et le résultat, Zurich 2007, p. 147, 149).</w:t>
      </w:r>
    </w:p>
    <w:p>
      <w:r>
        <w:rPr>
          <w:b/>
        </w:rPr>
        <w:t>E. 5</w:t>
      </w:r>
    </w:p>
    <w:p>
      <w:r>
        <w:t>Le défendeur se plaint aussi d'une sous-évaluation des honoraires extrajudiciaires arrêtés à 3'000 fr.; il critique la radiation d'un poste de 155 fr. dans la liste des débours et la réduction de 4'000 fr. à 1'000 fr., également dans les débours, de la rémunération réclamée pour de nombreuses communications téléphoniques. Il n'y a pas lieu d'examiner ces points car, pour les motifs qui précèdent, la cause devra de toute manière être renvoyée à la Ire Cour civile.</w:t>
      </w:r>
    </w:p>
    <w:p>
      <w:r>
        <w:rPr>
          <w:b/>
        </w:rPr>
        <w:t>E. 6</w:t>
      </w:r>
    </w:p>
    <w:p>
      <w:r>
        <w:t>Dans la liste des sommes à imputer sur les honoraires, versées par la demanderesse ou reçues pour le compte de celle-ci, cette autorité introduit l'indemnité de 7'000 fr. que la caisse du Tribunal fédéral a versée au défendeur en exécution de l'arrêt du 4 août 2005. Or, l'avocat n'a pas perçu ce montant à raison d'un mandat confié par sa cliente; désigné en qualité d'avocat d'office pour le recours en réforme dirigé contre le jugement du 20 janvier 2005, il se trouvait dans un rapport juridique spécial avec la Confédération et il était rémunéré par elle, séparément, pour la prestation accomplie dans ce cadre (cf. ATF 122 I 1 consid. 3a p. 2). L'indemnité étant indépendante du mandat, le défendeur n'en doit pas restitution selon l' art. 400 al. 1 CO et il n'a pas à en souffrir l'imputation sur ses honoraires. La Cour aura égard à cela dans sa nouvelle décision.</w:t>
      </w:r>
    </w:p>
    <w:p>
      <w:r>
        <w:rPr>
          <w:b/>
        </w:rPr>
        <w:t>E. 7</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