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4A_118/2021 vom 28. Mai 2021</w:t>
      </w:r>
    </w:p>
    <w:p>
      <w:r>
        <w:t>Bundesgericht, 2021-05-28, DE</w:t>
      </w:r>
    </w:p>
    <w:p>
      <w:r>
        <w:rPr>
          <w:b/>
        </w:rPr>
        <w:t xml:space="preserve">Quelle: </w:t>
      </w:r>
      <w:r>
        <w:t>https://mcp.opencaselaw.ch/entscheid/bger_4A_118_2021</w:t>
      </w:r>
    </w:p>
    <w:p>
      <w:r>
        <w:t>FR: TF 4A_118/2021 du 28 mai 2021</w:t>
      </w:r>
    </w:p>
    <w:p>
      <w:r>
        <w:t>IT: TF 4A_118/2021 del 28 maggio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als Rechtsmittelinstanz entschieden hat ( Art. 75 BGG ). Der Beschwerdeführer ist mit seinen Anträgen unterlegen ( Art. 76 BGG ), der Streitwert ist erreicht ( Art. 74 Abs. 1 lit. a BGG ) und die Beschwerdefrist ( Art. 100 Abs. 1 BGG ) ist eingehalten.</w:t>
      </w:r>
    </w:p>
    <w:p>
      <w:r>
        <w:t>Anfechtungsobjekt im bundesgerichtlichen Verfahren ist allein der Entscheid der Vorinstanz, mithin das Urteil des Appellationsgerichts Basel-Stadt ( BGE 141 III 188 E 4.1; 134 II 142 E. 1.4; Urteil 5A_483/2020 vom 24. November 2020 E. 1.4). Soweit der Beschwerdeführer seine Kritik unmittelbar gegen den Entscheid des Zivilgerichts Basel-Stadt oder dessen Unabhängigkeit richtet, ist auf die Beschwerde nicht einzutreten ( Art. 75 Abs. 1 BGG ).</w:t>
      </w:r>
    </w:p>
    <w:p>
      <w:r>
        <w:t>Auf die Beschwerde gegen das Urteil der Vorinstanz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mit Verweisen;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Für die Beschwerdeantwort gelten dieselben Begründungsanforderungen ( BGE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 je mit Hinweisen).</w:t>
      </w:r>
    </w:p>
    <w:p>
      <w:r>
        <w:rPr>
          <w:b/>
        </w:rPr>
        <w:t>E. 1.4</w:t>
      </w:r>
    </w:p>
    <w:p>
      <w:r>
        <w:t>Die Vorbringen des Beschwerdeführers erfüllen diese Anforderungen über weite Strecken nicht. Er beschränkt sich darauf, seine eigene Sicht der Dinge der vorinstanzlichen Würdigung der Beweismittel entgegenzuhalten und diese als willkürlich zu bezeichnen. Der Beschwerdeführer wiederholt dabei - teils wortwörtlich - seine bereits vor der Vorinstanz vorgebrachten Argumente. Allein die Tatsache, dass seine Sachverhaltsdarstellung von derjenigen der Vorinstanz abweicht, vermag noch keine Willkür zu begründen. Er erhebt damit keine hinreichend substanziierten Sachverhaltsrügen. Die entsprechenden Vorbringen haben unbeachtet zu bleiben. Massgebend ist demnach einzig der vorinstanzlich festgestellte Sachverhalt.</w:t>
      </w:r>
    </w:p>
    <w:p>
      <w:r>
        <w:rPr>
          <w:b/>
        </w:rPr>
        <w:t>E. 2</w:t>
      </w:r>
    </w:p>
    <w:p>
      <w:r>
        <w:t>In rechtlicher Hinsicht erwog das Appellationsgericht, dass ein Schadenersatzanspruch des Arbeitnehmers gegenüber der Arbeitgeberin mitunter voraussetze, dass der Arbeitnehmer einen Anspruch auf Leistungen aus der Kollektivkrankentaggeldversicherung gegenüber der Versicherung hatte. Dies wiederum setze voraus, dass der Arbeitnehmer im Zeitpunkt der Beendigung seines Arbeitsverhältnisses am 31. Dezember 2011 arbeitsunfähig war. Das Appellationsgericht kam zum Schluss, dass eine solche Arbeitsunfähigkeit nicht bewiesen sei. Es sah keinen Anlass, die Beweiswürdigung des Zivilgerichts hinsichtlich des massgeblichen Zeitpunkts zu beanstanden, da dieses sämtliche vom Arbeitnehmer vorgelegten Arztzeugnisse und medizinischen Berichte berücksichtigt habe. Dabei wies die Vorinstanz zutreffend darauf hin, dass der Beweiswert von Arztzeugnissen der freien Beweiswürdigung gemäss Art. 157 ZPO unterliegt ( BGE 140 III 24 E. 3.3.1.3; Urteil 4A_571/2016 vom 23. März 2017 E. 4.2). Sie legte nachvollziehbar dar, dass Zweifel am Beweiswert der vom Beschwerdeführer eingereichten Arztzeugnisse bestehen. Zur Begründung führte sie an, dass diese entweder erst Jahre nach der behaupteten Arbeitsunfähigkeit ausgestellt wurden, sich nur vage zur Arbeitsunfähigkeit äussern, bloss auf ungesicherten Annahmen sowie Aussagen des Beschwerdeführers beruhen oder grundsätzliche Zweifel an der Eignung der begutachtenden Personen bestehen. Zudem würdigte die Vorinstanz die weiteren Beweisanträge des Beschwerdeführers und verwarf namentlich dessen Kritik an der Beweiskraft der einvernommenen Zeugen. Sie kam zum Schluss, dass mangels bewiesener Arbeitsunfähigkeit im Zeitpunkt der Beendigung des Arbeitsverhältnisses kein Anspruch auf Nachleistung gegenüber der Kollektivkrankentaggeldversicherung bestand und folglich ein Schadenersatzanspruch gegenüber der Arbeitgeberin ausser Betracht fällt.</w:t>
      </w:r>
    </w:p>
    <w:p>
      <w:r>
        <w:t>Das Appellationsgericht verwarf auch den Vorwurf des Beschwerdeführers, die Beschwerdegegnerin habe ihre Fürsorge- und Informationspflicht hinsichtlich Übertritt in die Einzeltaggeldversicherung verletzt. Es stellte fest, dass der Beschwerdeführer sowohl von der Krankentaggeldversicherung als auch von der Beschwerdegegnerin rechtzeitig über die Möglichkeit und die Voraussetzungen eines Übertritts in eine Einzeltaggeldversicherung informiert wurde.</w:t>
      </w:r>
    </w:p>
    <w:p>
      <w:r>
        <w:t>Soweit der Beschwerdeführer mit seinen Vorbringen vor Bundesgericht überhaupt gehört werden kann, vermag er keine Bundesrechtsverletzung aufzuzeigen. Die Erwägungen der Vorinstanz sind auch unter Berücksichtigung der Vorbringen in der Beschwerde zutreffend. In Anwendung von Art. 109 Abs. 3 BGG kann im Einzelnen auf die vorinstanzlichen Erwägungen verwiesen werden.</w:t>
      </w:r>
    </w:p>
    <w:p>
      <w:r>
        <w:rPr>
          <w:b/>
        </w:rPr>
        <w:t>E. 3</w:t>
      </w:r>
    </w:p>
    <w:p>
      <w:r>
        <w:t>Die Beschwerde ist im Verfahren nach Art. 109 Abs. 2 lit. a BGG abzuweisen, soweit darauf eingetreten werden kann.</w:t>
      </w:r>
    </w:p>
    <w:p>
      <w:r>
        <w:t>Das Gesuch um unentgeltliche Rechtspflege für das bundesgerichtliche Verfahren ist bereits wegen Aussichtslosigkeit der Beschwerde abzuweisen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